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C182C" w14:textId="30520C80" w:rsidR="00DD1453" w:rsidRDefault="007055FF" w:rsidP="007055FF">
      <w:pPr>
        <w:jc w:val="center"/>
        <w:rPr>
          <w:rFonts w:asciiTheme="majorBidi" w:hAnsiTheme="majorBidi" w:cstheme="majorBidi"/>
          <w:b/>
          <w:bCs/>
          <w:sz w:val="32"/>
          <w:szCs w:val="32"/>
        </w:rPr>
      </w:pPr>
      <w:r w:rsidRPr="007055FF">
        <w:rPr>
          <w:rFonts w:asciiTheme="majorBidi" w:hAnsiTheme="majorBidi" w:cstheme="majorBidi"/>
          <w:b/>
          <w:bCs/>
          <w:sz w:val="32"/>
          <w:szCs w:val="32"/>
        </w:rPr>
        <w:t xml:space="preserve">The approach by resources and skills in Tunisian </w:t>
      </w:r>
      <w:proofErr w:type="gramStart"/>
      <w:r w:rsidRPr="007055FF">
        <w:rPr>
          <w:rFonts w:asciiTheme="majorBidi" w:hAnsiTheme="majorBidi" w:cstheme="majorBidi"/>
          <w:b/>
          <w:bCs/>
          <w:sz w:val="32"/>
          <w:szCs w:val="32"/>
        </w:rPr>
        <w:t>SMEs:</w:t>
      </w:r>
      <w:proofErr w:type="gramEnd"/>
      <w:r w:rsidRPr="007055FF">
        <w:rPr>
          <w:rFonts w:asciiTheme="majorBidi" w:hAnsiTheme="majorBidi" w:cstheme="majorBidi"/>
          <w:b/>
          <w:bCs/>
          <w:sz w:val="32"/>
          <w:szCs w:val="32"/>
        </w:rPr>
        <w:t xml:space="preserve"> between formalization and flexibility</w:t>
      </w:r>
    </w:p>
    <w:p w14:paraId="56B64EC2" w14:textId="325CCD7B" w:rsidR="00E5080B" w:rsidRDefault="00E5080B" w:rsidP="007055FF">
      <w:pPr>
        <w:jc w:val="center"/>
        <w:rPr>
          <w:rFonts w:asciiTheme="majorBidi" w:hAnsiTheme="majorBidi" w:cstheme="majorBidi"/>
          <w:b/>
          <w:bCs/>
          <w:sz w:val="32"/>
          <w:szCs w:val="32"/>
        </w:rPr>
      </w:pPr>
    </w:p>
    <w:p w14:paraId="2D43A666" w14:textId="77F779AA" w:rsidR="00E5080B" w:rsidRDefault="00E5080B" w:rsidP="007055FF">
      <w:pPr>
        <w:jc w:val="center"/>
        <w:rPr>
          <w:rFonts w:asciiTheme="majorBidi" w:hAnsiTheme="majorBidi" w:cstheme="majorBidi"/>
          <w:b/>
          <w:bCs/>
          <w:sz w:val="24"/>
          <w:szCs w:val="24"/>
          <w:vertAlign w:val="superscript"/>
        </w:rPr>
      </w:pPr>
      <w:r w:rsidRPr="00E5080B">
        <w:rPr>
          <w:rFonts w:asciiTheme="majorBidi" w:hAnsiTheme="majorBidi" w:cstheme="majorBidi"/>
          <w:b/>
          <w:bCs/>
          <w:sz w:val="24"/>
          <w:szCs w:val="24"/>
        </w:rPr>
        <w:t>Rihab KCHAOU</w:t>
      </w:r>
      <w:r>
        <w:rPr>
          <w:rFonts w:asciiTheme="majorBidi" w:hAnsiTheme="majorBidi" w:cstheme="majorBidi"/>
          <w:b/>
          <w:bCs/>
          <w:sz w:val="24"/>
          <w:szCs w:val="24"/>
          <w:vertAlign w:val="superscript"/>
        </w:rPr>
        <w:t>1</w:t>
      </w:r>
      <w:r w:rsidRPr="00E5080B">
        <w:rPr>
          <w:rFonts w:asciiTheme="majorBidi" w:hAnsiTheme="majorBidi" w:cstheme="majorBidi"/>
          <w:b/>
          <w:bCs/>
          <w:sz w:val="24"/>
          <w:szCs w:val="24"/>
        </w:rPr>
        <w:t>, Sami BOUDABBOUS</w:t>
      </w:r>
      <w:r>
        <w:rPr>
          <w:rFonts w:asciiTheme="majorBidi" w:hAnsiTheme="majorBidi" w:cstheme="majorBidi"/>
          <w:b/>
          <w:bCs/>
          <w:sz w:val="24"/>
          <w:szCs w:val="24"/>
          <w:vertAlign w:val="superscript"/>
        </w:rPr>
        <w:t>2</w:t>
      </w:r>
    </w:p>
    <w:p w14:paraId="039EA30E" w14:textId="4D976FA6" w:rsidR="00E5080B" w:rsidRDefault="00E5080B" w:rsidP="00E5080B">
      <w:pPr>
        <w:jc w:val="center"/>
        <w:rPr>
          <w:rFonts w:asciiTheme="majorBidi" w:hAnsiTheme="majorBidi" w:cstheme="majorBidi"/>
          <w:sz w:val="24"/>
          <w:szCs w:val="24"/>
          <w:vertAlign w:val="superscript"/>
        </w:rPr>
      </w:pPr>
      <w:r>
        <w:rPr>
          <w:rFonts w:asciiTheme="majorBidi" w:hAnsiTheme="majorBidi" w:cstheme="majorBidi"/>
          <w:b/>
          <w:bCs/>
          <w:sz w:val="24"/>
          <w:szCs w:val="24"/>
          <w:vertAlign w:val="superscript"/>
        </w:rPr>
        <w:t xml:space="preserve">1 : </w:t>
      </w:r>
      <w:r>
        <w:rPr>
          <w:rFonts w:asciiTheme="majorBidi" w:hAnsiTheme="majorBidi" w:cstheme="majorBidi"/>
          <w:sz w:val="24"/>
          <w:szCs w:val="24"/>
          <w:vertAlign w:val="superscript"/>
        </w:rPr>
        <w:t xml:space="preserve">Doctor in </w:t>
      </w:r>
      <w:r w:rsidRPr="00E5080B">
        <w:rPr>
          <w:rFonts w:asciiTheme="majorBidi" w:hAnsiTheme="majorBidi" w:cstheme="majorBidi"/>
          <w:sz w:val="24"/>
          <w:szCs w:val="24"/>
          <w:vertAlign w:val="superscript"/>
        </w:rPr>
        <w:t>Management,</w:t>
      </w:r>
      <w:r>
        <w:rPr>
          <w:rFonts w:asciiTheme="majorBidi" w:hAnsiTheme="majorBidi" w:cstheme="majorBidi"/>
          <w:b/>
          <w:bCs/>
          <w:sz w:val="24"/>
          <w:szCs w:val="24"/>
          <w:vertAlign w:val="superscript"/>
        </w:rPr>
        <w:t xml:space="preserve"> </w:t>
      </w:r>
      <w:r w:rsidRPr="00E5080B">
        <w:rPr>
          <w:rFonts w:asciiTheme="majorBidi" w:hAnsiTheme="majorBidi" w:cstheme="majorBidi"/>
          <w:sz w:val="24"/>
          <w:szCs w:val="24"/>
          <w:vertAlign w:val="superscript"/>
        </w:rPr>
        <w:t>Faculty of Economics and Management of Sfax</w:t>
      </w:r>
    </w:p>
    <w:p w14:paraId="0E3DEAD8" w14:textId="77777777" w:rsidR="00E5080B" w:rsidRDefault="00E5080B" w:rsidP="00E5080B">
      <w:pPr>
        <w:jc w:val="center"/>
        <w:rPr>
          <w:rFonts w:asciiTheme="majorBidi" w:hAnsiTheme="majorBidi" w:cstheme="majorBidi"/>
          <w:sz w:val="24"/>
          <w:szCs w:val="24"/>
          <w:vertAlign w:val="superscript"/>
        </w:rPr>
      </w:pPr>
      <w:r>
        <w:rPr>
          <w:rFonts w:asciiTheme="majorBidi" w:hAnsiTheme="majorBidi" w:cstheme="majorBidi"/>
          <w:b/>
          <w:bCs/>
          <w:sz w:val="24"/>
          <w:szCs w:val="24"/>
          <w:vertAlign w:val="superscript"/>
        </w:rPr>
        <w:t xml:space="preserve">2 : </w:t>
      </w:r>
      <w:r w:rsidRPr="00E5080B">
        <w:rPr>
          <w:rFonts w:asciiTheme="majorBidi" w:hAnsiTheme="majorBidi" w:cstheme="majorBidi"/>
          <w:sz w:val="24"/>
          <w:szCs w:val="24"/>
          <w:vertAlign w:val="superscript"/>
        </w:rPr>
        <w:t>Profess</w:t>
      </w:r>
      <w:r>
        <w:rPr>
          <w:rFonts w:asciiTheme="majorBidi" w:hAnsiTheme="majorBidi" w:cstheme="majorBidi"/>
          <w:sz w:val="24"/>
          <w:szCs w:val="24"/>
          <w:vertAlign w:val="superscript"/>
        </w:rPr>
        <w:t>o</w:t>
      </w:r>
      <w:r w:rsidRPr="00E5080B">
        <w:rPr>
          <w:rFonts w:asciiTheme="majorBidi" w:hAnsiTheme="majorBidi" w:cstheme="majorBidi"/>
          <w:sz w:val="24"/>
          <w:szCs w:val="24"/>
          <w:vertAlign w:val="superscript"/>
        </w:rPr>
        <w:t xml:space="preserve">r </w:t>
      </w:r>
      <w:r>
        <w:rPr>
          <w:rFonts w:asciiTheme="majorBidi" w:hAnsiTheme="majorBidi" w:cstheme="majorBidi"/>
          <w:sz w:val="24"/>
          <w:szCs w:val="24"/>
          <w:vertAlign w:val="superscript"/>
        </w:rPr>
        <w:t xml:space="preserve">in Management, </w:t>
      </w:r>
      <w:r w:rsidRPr="00E5080B">
        <w:rPr>
          <w:rFonts w:asciiTheme="majorBidi" w:hAnsiTheme="majorBidi" w:cstheme="majorBidi"/>
          <w:sz w:val="24"/>
          <w:szCs w:val="24"/>
          <w:vertAlign w:val="superscript"/>
        </w:rPr>
        <w:t>Faculty of Economics and Management of Sfax</w:t>
      </w:r>
    </w:p>
    <w:p w14:paraId="20340433" w14:textId="77777777" w:rsidR="007055FF" w:rsidRDefault="007055FF" w:rsidP="00DD1453"/>
    <w:p w14:paraId="2D0A4574" w14:textId="77777777" w:rsidR="007055FF" w:rsidRPr="007055FF" w:rsidRDefault="007055FF" w:rsidP="007055FF">
      <w:pPr>
        <w:spacing w:after="0" w:line="240" w:lineRule="auto"/>
        <w:jc w:val="both"/>
        <w:rPr>
          <w:rFonts w:asciiTheme="majorBidi" w:hAnsiTheme="majorBidi" w:cstheme="majorBidi"/>
          <w:b/>
          <w:bCs/>
          <w:sz w:val="24"/>
          <w:szCs w:val="24"/>
        </w:rPr>
      </w:pPr>
      <w:r w:rsidRPr="007055FF">
        <w:rPr>
          <w:rFonts w:asciiTheme="majorBidi" w:hAnsiTheme="majorBidi" w:cstheme="majorBidi"/>
          <w:b/>
          <w:bCs/>
          <w:sz w:val="24"/>
          <w:szCs w:val="24"/>
        </w:rPr>
        <w:t>Abstract</w:t>
      </w:r>
    </w:p>
    <w:p w14:paraId="7E172BC8" w14:textId="77777777" w:rsidR="007055FF" w:rsidRPr="007055FF" w:rsidRDefault="007055FF" w:rsidP="007055FF">
      <w:pPr>
        <w:spacing w:after="0" w:line="240" w:lineRule="auto"/>
        <w:jc w:val="both"/>
        <w:rPr>
          <w:rFonts w:asciiTheme="majorBidi" w:hAnsiTheme="majorBidi" w:cstheme="majorBidi"/>
          <w:sz w:val="24"/>
          <w:szCs w:val="24"/>
        </w:rPr>
      </w:pPr>
      <w:r w:rsidRPr="007055FF">
        <w:rPr>
          <w:rFonts w:asciiTheme="majorBidi" w:hAnsiTheme="majorBidi" w:cstheme="majorBidi"/>
          <w:sz w:val="24"/>
          <w:szCs w:val="24"/>
        </w:rPr>
        <w:t>This article explores the application of the resource and skills approach in Tunisian SMEs, a context where financial and human resources are often limited. While large companies have integrated sophisticated skills management systems, Tunisian SMEs, although representing more than 90% of the economic fabric, remain marked by informal and intuitive practices. However, some SMEs, particularly in the technology sectors, implement structured management practices, adapted to their specific constraints.</w:t>
      </w:r>
    </w:p>
    <w:p w14:paraId="59F7A425" w14:textId="77777777" w:rsidR="007055FF" w:rsidRPr="007055FF" w:rsidRDefault="007055FF" w:rsidP="007055FF">
      <w:pPr>
        <w:spacing w:after="0" w:line="240" w:lineRule="auto"/>
        <w:jc w:val="both"/>
        <w:rPr>
          <w:rFonts w:asciiTheme="majorBidi" w:hAnsiTheme="majorBidi" w:cstheme="majorBidi"/>
          <w:sz w:val="24"/>
          <w:szCs w:val="24"/>
        </w:rPr>
      </w:pPr>
      <w:r w:rsidRPr="007055FF">
        <w:rPr>
          <w:rFonts w:asciiTheme="majorBidi" w:hAnsiTheme="majorBidi" w:cstheme="majorBidi"/>
          <w:sz w:val="24"/>
          <w:szCs w:val="24"/>
        </w:rPr>
        <w:t xml:space="preserve">The study reveals that these technology SMEs adopt sophisticated operating methods, combining the flexibility of small structures with tools borrowed from large companies. They are characterized by a culture of intangibles, delegation based on individual skills, and rapid </w:t>
      </w:r>
      <w:proofErr w:type="gramStart"/>
      <w:r w:rsidRPr="007055FF">
        <w:rPr>
          <w:rFonts w:asciiTheme="majorBidi" w:hAnsiTheme="majorBidi" w:cstheme="majorBidi"/>
          <w:sz w:val="24"/>
          <w:szCs w:val="24"/>
        </w:rPr>
        <w:t>integration</w:t>
      </w:r>
      <w:proofErr w:type="gramEnd"/>
      <w:r w:rsidRPr="007055FF">
        <w:rPr>
          <w:rFonts w:asciiTheme="majorBidi" w:hAnsiTheme="majorBidi" w:cstheme="majorBidi"/>
          <w:sz w:val="24"/>
          <w:szCs w:val="24"/>
        </w:rPr>
        <w:t xml:space="preserve"> of new technologies. These practices reflect an evolution towards more formal and planned management, while maintaining the agility specific to SMEs.</w:t>
      </w:r>
    </w:p>
    <w:p w14:paraId="0C610F76" w14:textId="77777777" w:rsidR="007055FF" w:rsidRPr="007055FF" w:rsidRDefault="007055FF" w:rsidP="007055FF">
      <w:pPr>
        <w:spacing w:after="0" w:line="240" w:lineRule="auto"/>
        <w:jc w:val="both"/>
        <w:rPr>
          <w:rFonts w:asciiTheme="majorBidi" w:hAnsiTheme="majorBidi" w:cstheme="majorBidi"/>
          <w:sz w:val="24"/>
          <w:szCs w:val="24"/>
        </w:rPr>
      </w:pPr>
      <w:r w:rsidRPr="007055FF">
        <w:rPr>
          <w:rFonts w:asciiTheme="majorBidi" w:hAnsiTheme="majorBidi" w:cstheme="majorBidi"/>
          <w:sz w:val="24"/>
          <w:szCs w:val="24"/>
        </w:rPr>
        <w:t>However, this research, of an exploratory nature, focuses on a specific sample of technology SMEs and does not allow these observations to be generalized to all Tunisian SMEs. It nevertheless raises questions about the emergence of a universal "form" of technological SME, marked by common managerial orientations.</w:t>
      </w:r>
    </w:p>
    <w:p w14:paraId="029AEA8D" w14:textId="77777777" w:rsidR="007055FF" w:rsidRPr="007055FF" w:rsidRDefault="007055FF" w:rsidP="007055FF">
      <w:pPr>
        <w:spacing w:after="0" w:line="240" w:lineRule="auto"/>
        <w:jc w:val="both"/>
        <w:rPr>
          <w:rFonts w:asciiTheme="majorBidi" w:hAnsiTheme="majorBidi" w:cstheme="majorBidi"/>
          <w:sz w:val="24"/>
          <w:szCs w:val="24"/>
        </w:rPr>
      </w:pPr>
      <w:r w:rsidRPr="007055FF">
        <w:rPr>
          <w:rFonts w:asciiTheme="majorBidi" w:hAnsiTheme="majorBidi" w:cstheme="majorBidi"/>
          <w:sz w:val="24"/>
          <w:szCs w:val="24"/>
        </w:rPr>
        <w:t>Indeed, the study highlights the ability of Tunisian technological SMEs to reconcile formalization and flexibility, a hybridization that could be a key to their success in a competitive economic environment. This evolution suggests a shift from opportunistic management to a logic of collective skills, where each member contributes to the creation of value.</w:t>
      </w:r>
    </w:p>
    <w:p w14:paraId="0C24DE0B" w14:textId="77777777" w:rsidR="007055FF" w:rsidRPr="007055FF" w:rsidRDefault="007055FF" w:rsidP="007055FF">
      <w:pPr>
        <w:spacing w:after="0" w:line="240" w:lineRule="auto"/>
        <w:jc w:val="both"/>
        <w:rPr>
          <w:rFonts w:asciiTheme="majorBidi" w:hAnsiTheme="majorBidi" w:cstheme="majorBidi"/>
          <w:sz w:val="24"/>
          <w:szCs w:val="24"/>
        </w:rPr>
      </w:pPr>
    </w:p>
    <w:p w14:paraId="25EF6A23" w14:textId="7D671606" w:rsidR="007055FF" w:rsidRPr="007055FF" w:rsidRDefault="007055FF" w:rsidP="007055FF">
      <w:pPr>
        <w:spacing w:after="0" w:line="240" w:lineRule="auto"/>
        <w:jc w:val="both"/>
        <w:rPr>
          <w:rFonts w:asciiTheme="majorBidi" w:hAnsiTheme="majorBidi" w:cstheme="majorBidi"/>
          <w:sz w:val="24"/>
          <w:szCs w:val="24"/>
        </w:rPr>
      </w:pPr>
      <w:proofErr w:type="gramStart"/>
      <w:r w:rsidRPr="007055FF">
        <w:rPr>
          <w:rFonts w:asciiTheme="majorBidi" w:hAnsiTheme="majorBidi" w:cstheme="majorBidi"/>
          <w:b/>
          <w:bCs/>
          <w:sz w:val="24"/>
          <w:szCs w:val="24"/>
        </w:rPr>
        <w:t>Keywords:</w:t>
      </w:r>
      <w:proofErr w:type="gramEnd"/>
      <w:r w:rsidRPr="007055FF">
        <w:rPr>
          <w:rFonts w:asciiTheme="majorBidi" w:hAnsiTheme="majorBidi" w:cstheme="majorBidi"/>
          <w:b/>
          <w:bCs/>
          <w:sz w:val="24"/>
          <w:szCs w:val="24"/>
        </w:rPr>
        <w:t xml:space="preserve"> </w:t>
      </w:r>
      <w:r w:rsidRPr="007055FF">
        <w:rPr>
          <w:rFonts w:asciiTheme="majorBidi" w:hAnsiTheme="majorBidi" w:cstheme="majorBidi"/>
          <w:sz w:val="24"/>
          <w:szCs w:val="24"/>
        </w:rPr>
        <w:t>Resources and skills, Tunisian SMEs, Knowledge management, Strategic flexibility, Managerial innovation.</w:t>
      </w:r>
    </w:p>
    <w:p w14:paraId="3BCF8151" w14:textId="77777777" w:rsidR="007055FF" w:rsidRPr="007055FF" w:rsidRDefault="007055FF" w:rsidP="007055FF">
      <w:pPr>
        <w:jc w:val="both"/>
        <w:rPr>
          <w:rFonts w:asciiTheme="majorBidi" w:hAnsiTheme="majorBidi" w:cstheme="majorBidi"/>
          <w:sz w:val="24"/>
          <w:szCs w:val="24"/>
        </w:rPr>
      </w:pPr>
    </w:p>
    <w:p w14:paraId="0F413B9F" w14:textId="77777777" w:rsidR="007055FF" w:rsidRDefault="007055FF" w:rsidP="007055FF">
      <w:pPr>
        <w:jc w:val="both"/>
        <w:rPr>
          <w:rFonts w:asciiTheme="majorBidi" w:hAnsiTheme="majorBidi" w:cstheme="majorBidi"/>
          <w:sz w:val="24"/>
          <w:szCs w:val="24"/>
        </w:rPr>
      </w:pPr>
    </w:p>
    <w:p w14:paraId="4597F1F2" w14:textId="77777777" w:rsidR="007055FF" w:rsidRDefault="007055FF" w:rsidP="007055FF">
      <w:pPr>
        <w:jc w:val="both"/>
        <w:rPr>
          <w:rFonts w:asciiTheme="majorBidi" w:hAnsiTheme="majorBidi" w:cstheme="majorBidi"/>
          <w:sz w:val="24"/>
          <w:szCs w:val="24"/>
        </w:rPr>
      </w:pPr>
    </w:p>
    <w:p w14:paraId="67A512FB" w14:textId="77777777" w:rsidR="007055FF" w:rsidRDefault="007055FF" w:rsidP="007055FF">
      <w:pPr>
        <w:jc w:val="both"/>
        <w:rPr>
          <w:rFonts w:asciiTheme="majorBidi" w:hAnsiTheme="majorBidi" w:cstheme="majorBidi"/>
          <w:sz w:val="24"/>
          <w:szCs w:val="24"/>
        </w:rPr>
      </w:pPr>
    </w:p>
    <w:p w14:paraId="28FD3D51" w14:textId="77777777" w:rsidR="007055FF" w:rsidRDefault="007055FF" w:rsidP="007055FF">
      <w:pPr>
        <w:jc w:val="both"/>
        <w:rPr>
          <w:rFonts w:asciiTheme="majorBidi" w:hAnsiTheme="majorBidi" w:cstheme="majorBidi"/>
          <w:sz w:val="24"/>
          <w:szCs w:val="24"/>
        </w:rPr>
      </w:pPr>
    </w:p>
    <w:p w14:paraId="4D5AF59F" w14:textId="77777777" w:rsidR="007055FF" w:rsidRDefault="007055FF" w:rsidP="007055FF">
      <w:pPr>
        <w:jc w:val="both"/>
        <w:rPr>
          <w:rFonts w:asciiTheme="majorBidi" w:hAnsiTheme="majorBidi" w:cstheme="majorBidi"/>
          <w:sz w:val="24"/>
          <w:szCs w:val="24"/>
        </w:rPr>
      </w:pPr>
    </w:p>
    <w:p w14:paraId="1702E089" w14:textId="77777777" w:rsidR="007055FF" w:rsidRDefault="007055FF" w:rsidP="007055FF">
      <w:pPr>
        <w:jc w:val="both"/>
        <w:rPr>
          <w:rFonts w:asciiTheme="majorBidi" w:hAnsiTheme="majorBidi" w:cstheme="majorBidi"/>
          <w:sz w:val="24"/>
          <w:szCs w:val="24"/>
        </w:rPr>
      </w:pPr>
    </w:p>
    <w:p w14:paraId="35F40CE7" w14:textId="77777777" w:rsidR="007055FF" w:rsidRDefault="007055FF" w:rsidP="007055FF">
      <w:pPr>
        <w:jc w:val="both"/>
        <w:rPr>
          <w:rFonts w:asciiTheme="majorBidi" w:hAnsiTheme="majorBidi" w:cstheme="majorBidi"/>
          <w:sz w:val="24"/>
          <w:szCs w:val="24"/>
        </w:rPr>
      </w:pPr>
    </w:p>
    <w:p w14:paraId="053DC322" w14:textId="77777777" w:rsidR="007055FF" w:rsidRDefault="007055FF" w:rsidP="007055FF">
      <w:pPr>
        <w:jc w:val="both"/>
        <w:rPr>
          <w:rFonts w:asciiTheme="majorBidi" w:hAnsiTheme="majorBidi" w:cstheme="majorBidi"/>
          <w:sz w:val="24"/>
          <w:szCs w:val="24"/>
        </w:rPr>
      </w:pPr>
    </w:p>
    <w:p w14:paraId="4A1D5AF6" w14:textId="77777777" w:rsidR="007055FF" w:rsidRDefault="007055FF" w:rsidP="007055FF">
      <w:pPr>
        <w:jc w:val="both"/>
        <w:rPr>
          <w:rFonts w:asciiTheme="majorBidi" w:hAnsiTheme="majorBidi" w:cstheme="majorBidi"/>
          <w:sz w:val="24"/>
          <w:szCs w:val="24"/>
        </w:rPr>
      </w:pPr>
    </w:p>
    <w:p w14:paraId="5F75ABCE" w14:textId="77777777" w:rsidR="007055FF" w:rsidRDefault="007055FF" w:rsidP="007055FF">
      <w:pPr>
        <w:jc w:val="both"/>
        <w:rPr>
          <w:rFonts w:asciiTheme="majorBidi" w:hAnsiTheme="majorBidi" w:cstheme="majorBidi"/>
          <w:sz w:val="24"/>
          <w:szCs w:val="24"/>
        </w:rPr>
      </w:pPr>
    </w:p>
    <w:p w14:paraId="60314B8D" w14:textId="77777777" w:rsidR="007055FF" w:rsidRDefault="007055FF" w:rsidP="007055FF">
      <w:pPr>
        <w:jc w:val="both"/>
        <w:rPr>
          <w:rFonts w:asciiTheme="majorBidi" w:hAnsiTheme="majorBidi" w:cstheme="majorBidi"/>
          <w:sz w:val="24"/>
          <w:szCs w:val="24"/>
        </w:rPr>
      </w:pPr>
    </w:p>
    <w:p w14:paraId="63F56FE0" w14:textId="77777777" w:rsidR="007055FF" w:rsidRDefault="007055FF" w:rsidP="007055FF">
      <w:pPr>
        <w:jc w:val="both"/>
        <w:rPr>
          <w:rFonts w:asciiTheme="majorBidi" w:hAnsiTheme="majorBidi" w:cstheme="majorBidi"/>
          <w:sz w:val="24"/>
          <w:szCs w:val="24"/>
        </w:rPr>
      </w:pPr>
    </w:p>
    <w:p w14:paraId="629CE60F" w14:textId="77777777" w:rsidR="007055FF" w:rsidRDefault="007055FF" w:rsidP="007055FF">
      <w:pPr>
        <w:jc w:val="both"/>
        <w:rPr>
          <w:rFonts w:asciiTheme="majorBidi" w:hAnsiTheme="majorBidi" w:cstheme="majorBidi"/>
          <w:sz w:val="24"/>
          <w:szCs w:val="24"/>
        </w:rPr>
      </w:pPr>
    </w:p>
    <w:p w14:paraId="49CBF6B2"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Introduction</w:t>
      </w:r>
    </w:p>
    <w:p w14:paraId="30C3D4D8"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Several previous works (Boxall &amp; Purcell, </w:t>
      </w:r>
      <w:proofErr w:type="gramStart"/>
      <w:r w:rsidRPr="007055FF">
        <w:rPr>
          <w:rFonts w:asciiTheme="majorBidi" w:hAnsiTheme="majorBidi" w:cstheme="majorBidi"/>
          <w:sz w:val="24"/>
          <w:szCs w:val="24"/>
        </w:rPr>
        <w:t>2022;</w:t>
      </w:r>
      <w:proofErr w:type="gramEnd"/>
      <w:r w:rsidRPr="007055FF">
        <w:rPr>
          <w:rFonts w:asciiTheme="majorBidi" w:hAnsiTheme="majorBidi" w:cstheme="majorBidi"/>
          <w:sz w:val="24"/>
          <w:szCs w:val="24"/>
        </w:rPr>
        <w:t xml:space="preserve"> Holbeche, 2022; Sekaran, 2016) have highlighted the emergence of an innovative school of thought in the field of corporate strategy, namely the resource-based and skills-based approach. This school, as Tovstiga (2015) points out, is distinguished by its ability to integrate the contributions of other strategic theories while proposing concrete and operational tools, adapted to the needs of practitioners. This approach seems particularly relevant in the Tunisian context, where SMEs (small and medium-sized enterprises) play a central role in the national economy.</w:t>
      </w:r>
    </w:p>
    <w:p w14:paraId="63C93590"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Today, many studies focus on the managerial practices of companies, but the majority of them focus on large organizations (Weiss, </w:t>
      </w:r>
      <w:proofErr w:type="gramStart"/>
      <w:r w:rsidRPr="007055FF">
        <w:rPr>
          <w:rFonts w:asciiTheme="majorBidi" w:hAnsiTheme="majorBidi" w:cstheme="majorBidi"/>
          <w:sz w:val="24"/>
          <w:szCs w:val="24"/>
        </w:rPr>
        <w:t>2021;</w:t>
      </w:r>
      <w:proofErr w:type="gramEnd"/>
      <w:r w:rsidRPr="007055FF">
        <w:rPr>
          <w:rFonts w:asciiTheme="majorBidi" w:hAnsiTheme="majorBidi" w:cstheme="majorBidi"/>
          <w:sz w:val="24"/>
          <w:szCs w:val="24"/>
        </w:rPr>
        <w:t xml:space="preserve"> Meredith et al., 2017). For example, in developed countries, companies such as IBM France have created positions dedicated to skills and knowledge management (Sztangret, 2015). However, in Tunisia, where SMEs represent more than 90% of the economic fabric, resource and skills management remains poorly formalized (Mejri &amp; Véry, 2022). However, these companies are faced with crucial issues, such as the preservation of knowledge and skills, particularly when a key employee leaves or in a context of strong competition.</w:t>
      </w:r>
    </w:p>
    <w:p w14:paraId="3918C003"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Beyond a simple fad, we are convinced that the resource and skills approach can bring real added value to the strategic development of Tunisian SMEs. However, a key question </w:t>
      </w:r>
      <w:proofErr w:type="gramStart"/>
      <w:r w:rsidRPr="007055FF">
        <w:rPr>
          <w:rFonts w:asciiTheme="majorBidi" w:hAnsiTheme="majorBidi" w:cstheme="majorBidi"/>
          <w:sz w:val="24"/>
          <w:szCs w:val="24"/>
        </w:rPr>
        <w:t>arises:</w:t>
      </w:r>
      <w:proofErr w:type="gramEnd"/>
      <w:r w:rsidRPr="007055FF">
        <w:rPr>
          <w:rFonts w:asciiTheme="majorBidi" w:hAnsiTheme="majorBidi" w:cstheme="majorBidi"/>
          <w:sz w:val="24"/>
          <w:szCs w:val="24"/>
        </w:rPr>
        <w:t xml:space="preserve"> how can this approach be adapted to the specific context of Tunisia, where financial and human resources are often limited? Studies conducted in large companies show that their managers have integrated the importance of resources and skills, but these organizations have sophisticated, costly management systems that are difficult to transpose to SMEs.</w:t>
      </w:r>
    </w:p>
    <w:p w14:paraId="058AFFBF"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In Tunisia, as several researchers point out (Gara Bach Ouerdian et al., </w:t>
      </w:r>
      <w:proofErr w:type="gramStart"/>
      <w:r w:rsidRPr="007055FF">
        <w:rPr>
          <w:rFonts w:asciiTheme="majorBidi" w:hAnsiTheme="majorBidi" w:cstheme="majorBidi"/>
          <w:sz w:val="24"/>
          <w:szCs w:val="24"/>
        </w:rPr>
        <w:t>2019;</w:t>
      </w:r>
      <w:proofErr w:type="gramEnd"/>
      <w:r w:rsidRPr="007055FF">
        <w:rPr>
          <w:rFonts w:asciiTheme="majorBidi" w:hAnsiTheme="majorBidi" w:cstheme="majorBidi"/>
          <w:sz w:val="24"/>
          <w:szCs w:val="24"/>
        </w:rPr>
        <w:t xml:space="preserve"> Bartels, 2018), knowledge and skills management remains little explored for many SMEs. However, these companies are aware of the importance of preserving and renewing their knowledge, especially in a changing economic environment. The particularity of Tunisian SMEs lies in the often </w:t>
      </w:r>
      <w:r w:rsidRPr="007055FF">
        <w:rPr>
          <w:rFonts w:asciiTheme="majorBidi" w:hAnsiTheme="majorBidi" w:cstheme="majorBidi"/>
          <w:sz w:val="24"/>
          <w:szCs w:val="24"/>
        </w:rPr>
        <w:lastRenderedPageBreak/>
        <w:t>informal and intuitive nature of their management practices, which makes their analysis complex but also rich in lessons.</w:t>
      </w:r>
    </w:p>
    <w:p w14:paraId="4081EEE5"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In this context, we have chosen to study more closely the practices of Tunisian SMEs in terms of resource and skills management. Contrary to popular belief, we have observed that some Tunisian SMEs implement structured operating procedures, although adapted to their specific constraints. This article aims to highlight these practices, which are less publicized but just as revealing of the potential of the flow of resources and skills in a Tunisian context.</w:t>
      </w:r>
    </w:p>
    <w:p w14:paraId="65C2D3E4"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The first part of this article will present the theoretical foundations of the resource and skills model, emphasizing the central role of knowledge as a strategic resource. We will see that knowledge and skills are inseparable, especially in a context where innovation and adaptability are crucial. The second part will address the practices observed in companies, while highlighting the specific challenges faced by SMEs. Finally, the third part will present the preliminary results of an exploratory study conducted among around ten innovative Tunisian SMEs, mainly from the technology and service sectors. These companies, whose development is based on the creativity and skills of their employees, offer a rich field of study to understand how Tunisian SMEs can benefit from the resource and skills approach. </w:t>
      </w:r>
    </w:p>
    <w:p w14:paraId="0CE9354C" w14:textId="10ECC15D"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This study, although preliminary, aims to open new avenues of reflection on the management of resources and skills in the Tunisian context, where SMEs are an essential pillar of the economy and employment. By highlighting the innovative practices of these companies, we hope to contribute to a better understanding of the strategic issues they face and to propose courses of action adapted to their reality.</w:t>
      </w:r>
    </w:p>
    <w:p w14:paraId="76C36522" w14:textId="77777777" w:rsidR="007055FF" w:rsidRDefault="007055FF" w:rsidP="007055FF">
      <w:pPr>
        <w:spacing w:after="120" w:line="360" w:lineRule="auto"/>
        <w:jc w:val="both"/>
        <w:rPr>
          <w:rFonts w:asciiTheme="majorBidi" w:hAnsiTheme="majorBidi" w:cstheme="majorBidi"/>
          <w:sz w:val="24"/>
          <w:szCs w:val="24"/>
        </w:rPr>
      </w:pPr>
    </w:p>
    <w:p w14:paraId="5EB618EB"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1. Literature review</w:t>
      </w:r>
    </w:p>
    <w:p w14:paraId="0AE6CE45"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1.1. The resource and skills model</w:t>
      </w:r>
    </w:p>
    <w:p w14:paraId="5383F599"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Although it is not yet a unified theory, the resource and skills model (RSM) has attracted many researchers and practitioners with its innovative contributions (Fischer &amp; Yan, 2018). One of its main assets lies in its ability to make a real shift towards a dynamic approach, integrating the temporal dimension (Button et al., 2021). Indeed, the RSM manages to reconcile two often opposing </w:t>
      </w:r>
      <w:proofErr w:type="gramStart"/>
      <w:r w:rsidRPr="007055FF">
        <w:rPr>
          <w:rFonts w:asciiTheme="majorBidi" w:hAnsiTheme="majorBidi" w:cstheme="majorBidi"/>
          <w:sz w:val="24"/>
          <w:szCs w:val="24"/>
        </w:rPr>
        <w:t>perspectives:</w:t>
      </w:r>
      <w:proofErr w:type="gramEnd"/>
      <w:r w:rsidRPr="007055FF">
        <w:rPr>
          <w:rFonts w:asciiTheme="majorBidi" w:hAnsiTheme="majorBidi" w:cstheme="majorBidi"/>
          <w:sz w:val="24"/>
          <w:szCs w:val="24"/>
        </w:rPr>
        <w:t xml:space="preserve"> the content approach, centered on the analysis of resources, and the process approach, focused on the analysis of skills (Simonovic, 2012). This dual perspective broadens the field of study and makes it possible to integrate contributions from other disciplines, such as economics and sociology (Hass, 2020).</w:t>
      </w:r>
    </w:p>
    <w:p w14:paraId="0871C1D5"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lastRenderedPageBreak/>
        <w:t xml:space="preserve">The strength of the RSM lies in two key elements. On the one hand, it is based on a diversity of theoretical and practical contributions. On the other hand, it highlights two fundamental components of the </w:t>
      </w:r>
      <w:proofErr w:type="gramStart"/>
      <w:r w:rsidRPr="007055FF">
        <w:rPr>
          <w:rFonts w:asciiTheme="majorBidi" w:hAnsiTheme="majorBidi" w:cstheme="majorBidi"/>
          <w:sz w:val="24"/>
          <w:szCs w:val="24"/>
        </w:rPr>
        <w:t>company:</w:t>
      </w:r>
      <w:proofErr w:type="gramEnd"/>
      <w:r w:rsidRPr="007055FF">
        <w:rPr>
          <w:rFonts w:asciiTheme="majorBidi" w:hAnsiTheme="majorBidi" w:cstheme="majorBidi"/>
          <w:sz w:val="24"/>
          <w:szCs w:val="24"/>
        </w:rPr>
        <w:t xml:space="preserve"> resources and skills. These two pillars are inseparable and allow us to understand how an organization can differentiate itself and create value in the long term.</w:t>
      </w:r>
    </w:p>
    <w:p w14:paraId="34823F4B"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 xml:space="preserve">1.1.1. </w:t>
      </w:r>
      <w:proofErr w:type="gramStart"/>
      <w:r w:rsidRPr="007055FF">
        <w:rPr>
          <w:rFonts w:asciiTheme="majorBidi" w:hAnsiTheme="majorBidi" w:cstheme="majorBidi"/>
          <w:b/>
          <w:bCs/>
          <w:sz w:val="24"/>
          <w:szCs w:val="24"/>
        </w:rPr>
        <w:t>Resources:</w:t>
      </w:r>
      <w:proofErr w:type="gramEnd"/>
      <w:r w:rsidRPr="007055FF">
        <w:rPr>
          <w:rFonts w:asciiTheme="majorBidi" w:hAnsiTheme="majorBidi" w:cstheme="majorBidi"/>
          <w:b/>
          <w:bCs/>
          <w:sz w:val="24"/>
          <w:szCs w:val="24"/>
        </w:rPr>
        <w:t xml:space="preserve"> strategic assets</w:t>
      </w:r>
    </w:p>
    <w:p w14:paraId="0022D13A"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Resources are defined as specialized assets, tangible or intangible, that the company can mobilize to generate competitive advantages (Teece, 2015). These assets are evaluated according to two main </w:t>
      </w:r>
      <w:proofErr w:type="gramStart"/>
      <w:r w:rsidRPr="007055FF">
        <w:rPr>
          <w:rFonts w:asciiTheme="majorBidi" w:hAnsiTheme="majorBidi" w:cstheme="majorBidi"/>
          <w:sz w:val="24"/>
          <w:szCs w:val="24"/>
        </w:rPr>
        <w:t>criteria:</w:t>
      </w:r>
      <w:proofErr w:type="gramEnd"/>
      <w:r w:rsidRPr="007055FF">
        <w:rPr>
          <w:rFonts w:asciiTheme="majorBidi" w:hAnsiTheme="majorBidi" w:cstheme="majorBidi"/>
          <w:sz w:val="24"/>
          <w:szCs w:val="24"/>
        </w:rPr>
        <w:t xml:space="preserve"> their imitability (the difficulty of copying them) and their transferability (the ease of transferring them from one company to another) (Maket &amp; Korir, 2017). Furthermore, resources often benefit from what are called “time diseconomies,” meaning that they accumulate and reinforce themselves over time, creating a sustainable advantage for the firm (Hartman et al., 2015). These resources encompass a wide variety of </w:t>
      </w:r>
      <w:proofErr w:type="gramStart"/>
      <w:r w:rsidRPr="007055FF">
        <w:rPr>
          <w:rFonts w:asciiTheme="majorBidi" w:hAnsiTheme="majorBidi" w:cstheme="majorBidi"/>
          <w:sz w:val="24"/>
          <w:szCs w:val="24"/>
        </w:rPr>
        <w:t>elements:</w:t>
      </w:r>
      <w:proofErr w:type="gramEnd"/>
      <w:r w:rsidRPr="007055FF">
        <w:rPr>
          <w:rFonts w:asciiTheme="majorBidi" w:hAnsiTheme="majorBidi" w:cstheme="majorBidi"/>
          <w:sz w:val="24"/>
          <w:szCs w:val="24"/>
        </w:rPr>
        <w:t xml:space="preserve"> tangible assets (equipment, machinery), intangible assets (patents, brands), organizational capabilities, internal processes, information, and, most importantly, knowledge (Teece, 2015). </w:t>
      </w:r>
    </w:p>
    <w:p w14:paraId="5CBB8108"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For a resource to be truly strategic, it must meet six key </w:t>
      </w:r>
      <w:proofErr w:type="gramStart"/>
      <w:r w:rsidRPr="007055FF">
        <w:rPr>
          <w:rFonts w:asciiTheme="majorBidi" w:hAnsiTheme="majorBidi" w:cstheme="majorBidi"/>
          <w:sz w:val="24"/>
          <w:szCs w:val="24"/>
        </w:rPr>
        <w:t>criteria:</w:t>
      </w:r>
      <w:proofErr w:type="gramEnd"/>
      <w:r w:rsidRPr="007055FF">
        <w:rPr>
          <w:rFonts w:asciiTheme="majorBidi" w:hAnsiTheme="majorBidi" w:cstheme="majorBidi"/>
          <w:sz w:val="24"/>
          <w:szCs w:val="24"/>
        </w:rPr>
        <w:t xml:space="preserve"> its ability to create value, its rarity, its difficulty of being imitated, its longevity, its non-substitutable nature, and the firm’s ability to appropriate it (Kurzhals, 2021). Among these resources, knowledge occupies a central place. Indeed, in an increasingly knowledge-based economy, knowledge has become a key lever for competitiveness. As Bolisani et al. (2018) point out, the efficiency of knowledge now exceeds that of traditional factors of production, such as capital or labor. This idea is taken up by several influential authors. For example, El Badawy (2012) considers knowledge as the resource </w:t>
      </w:r>
      <w:r w:rsidRPr="0027035E">
        <w:rPr>
          <w:rFonts w:asciiTheme="majorBidi" w:hAnsiTheme="majorBidi" w:cstheme="majorBidi"/>
          <w:sz w:val="24"/>
          <w:szCs w:val="24"/>
          <w:highlight w:val="yellow"/>
        </w:rPr>
        <w:t>par excellence</w:t>
      </w:r>
      <w:bookmarkStart w:id="0" w:name="_GoBack"/>
      <w:bookmarkEnd w:id="0"/>
      <w:r w:rsidRPr="007055FF">
        <w:rPr>
          <w:rFonts w:asciiTheme="majorBidi" w:hAnsiTheme="majorBidi" w:cstheme="majorBidi"/>
          <w:sz w:val="24"/>
          <w:szCs w:val="24"/>
        </w:rPr>
        <w:t xml:space="preserve">, at the heart of the knowledge society, where the skilled worker becomes the main asset. Brown (2020), for his part, establishes a close link between knowledge and power, while Belkahla Hakimi et al. (2014) go further by asserting that the value of a product or service largely depends on the integration of intangible knowledge-based characteristics, such as technology, design, creativity or the ability to meet customer needs. </w:t>
      </w:r>
    </w:p>
    <w:p w14:paraId="7B37AA3A" w14:textId="52C14D33"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Knowledge creation and management are also at the heart of the work of Nonaka and Takeuchi (</w:t>
      </w:r>
      <w:proofErr w:type="gramStart"/>
      <w:r w:rsidRPr="007055FF">
        <w:rPr>
          <w:rFonts w:asciiTheme="majorBidi" w:hAnsiTheme="majorBidi" w:cstheme="majorBidi"/>
          <w:sz w:val="24"/>
          <w:szCs w:val="24"/>
        </w:rPr>
        <w:t>2012;</w:t>
      </w:r>
      <w:proofErr w:type="gramEnd"/>
      <w:r w:rsidRPr="007055FF">
        <w:rPr>
          <w:rFonts w:asciiTheme="majorBidi" w:hAnsiTheme="majorBidi" w:cstheme="majorBidi"/>
          <w:sz w:val="24"/>
          <w:szCs w:val="24"/>
        </w:rPr>
        <w:t xml:space="preserve"> 2021), who identify four modes of knowledge creation: socialization (sharing experiences), externalization (transformation of tacit knowledge into explicit knowledge), combination (integration of explicit knowledge) and internalization (integration of explicit knowledge into individual practices). These processes not only allow knowledge to be disseminated within the company, but also to build collective skills, which are essential for innovating and adapting to change.</w:t>
      </w:r>
    </w:p>
    <w:p w14:paraId="57C2B2C2" w14:textId="77777777" w:rsidR="007055FF" w:rsidRDefault="007055FF" w:rsidP="007055FF">
      <w:pPr>
        <w:spacing w:after="120" w:line="360" w:lineRule="auto"/>
        <w:jc w:val="both"/>
        <w:rPr>
          <w:rFonts w:asciiTheme="majorBidi" w:hAnsiTheme="majorBidi" w:cstheme="majorBidi"/>
          <w:sz w:val="24"/>
          <w:szCs w:val="24"/>
        </w:rPr>
      </w:pPr>
    </w:p>
    <w:p w14:paraId="5CF0D693" w14:textId="77777777" w:rsidR="007055FF" w:rsidRDefault="007055FF" w:rsidP="007055FF">
      <w:pPr>
        <w:spacing w:after="120" w:line="360" w:lineRule="auto"/>
        <w:jc w:val="both"/>
        <w:rPr>
          <w:rFonts w:asciiTheme="majorBidi" w:hAnsiTheme="majorBidi" w:cstheme="majorBidi"/>
          <w:sz w:val="24"/>
          <w:szCs w:val="24"/>
        </w:rPr>
      </w:pPr>
    </w:p>
    <w:p w14:paraId="19263231" w14:textId="77777777" w:rsidR="007055FF" w:rsidRDefault="007055FF" w:rsidP="007055FF">
      <w:pPr>
        <w:spacing w:after="120" w:line="360" w:lineRule="auto"/>
        <w:jc w:val="both"/>
        <w:rPr>
          <w:rFonts w:asciiTheme="majorBidi" w:hAnsiTheme="majorBidi" w:cstheme="majorBidi"/>
          <w:sz w:val="24"/>
          <w:szCs w:val="24"/>
        </w:rPr>
      </w:pPr>
    </w:p>
    <w:p w14:paraId="727FAD1B"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1.1.2. The articulation between knowledge and skills</w:t>
      </w:r>
    </w:p>
    <w:p w14:paraId="2720D295"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In a context where companies must face increasingly complex and uncertain environments, the articulation between knowledge and skills becomes crucial. Skills, whether individual or collective, are based on a combination of knowledge, know-how and experience (Brown &amp; Palincsar, 2018). They allow the company to transform its resources into competitive advantages. However, this transformation is not </w:t>
      </w:r>
      <w:proofErr w:type="gramStart"/>
      <w:r w:rsidRPr="007055FF">
        <w:rPr>
          <w:rFonts w:asciiTheme="majorBidi" w:hAnsiTheme="majorBidi" w:cstheme="majorBidi"/>
          <w:sz w:val="24"/>
          <w:szCs w:val="24"/>
        </w:rPr>
        <w:t>static:</w:t>
      </w:r>
      <w:proofErr w:type="gramEnd"/>
      <w:r w:rsidRPr="007055FF">
        <w:rPr>
          <w:rFonts w:asciiTheme="majorBidi" w:hAnsiTheme="majorBidi" w:cstheme="majorBidi"/>
          <w:sz w:val="24"/>
          <w:szCs w:val="24"/>
        </w:rPr>
        <w:t xml:space="preserve"> it is part of a dynamic perspective, where learning plays a central role (Heubeck, 2023).</w:t>
      </w:r>
    </w:p>
    <w:p w14:paraId="313B55A7"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According to Cappellaro et al. (2020), many companies are now adopting hybrid logics, combining project logics (focused on specific objectives) and business logics (based on traditional know-how). This hybridization leads to profound redistributions in the functioning of organizations, particularly with regard to knowledge capitalization and skills management. In this sense, Callaghan (2014) argues that the management of individual skills must now be linked to the construction of collective skills, capable of responding to the complex and transversal challenges that companies face.</w:t>
      </w:r>
    </w:p>
    <w:p w14:paraId="283B753A" w14:textId="4C51B1FF"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In short, the MRC offers a dynamic and integrated perspective, where knowledge and skills are at the heart of the business strategy. This approach highlights the importance of continuous learning and the ability to transform resources into sustainable competitive advantages. In a constantly changing world, this ability to learn, innovate and adapt is becoming a major strategic issue for companies, whether large or small.</w:t>
      </w:r>
    </w:p>
    <w:p w14:paraId="66CED205" w14:textId="77777777" w:rsidR="007055FF" w:rsidRDefault="007055FF" w:rsidP="007055FF">
      <w:pPr>
        <w:spacing w:after="120" w:line="360" w:lineRule="auto"/>
        <w:jc w:val="both"/>
        <w:rPr>
          <w:rFonts w:asciiTheme="majorBidi" w:hAnsiTheme="majorBidi" w:cstheme="majorBidi"/>
          <w:sz w:val="24"/>
          <w:szCs w:val="24"/>
        </w:rPr>
      </w:pPr>
    </w:p>
    <w:p w14:paraId="50B6449D" w14:textId="77777777" w:rsidR="007055FF" w:rsidRPr="007055FF" w:rsidRDefault="007055FF" w:rsidP="007055FF">
      <w:pPr>
        <w:spacing w:after="120" w:line="360" w:lineRule="auto"/>
        <w:jc w:val="both"/>
        <w:rPr>
          <w:rFonts w:asciiTheme="majorBidi" w:hAnsiTheme="majorBidi" w:cstheme="majorBidi"/>
          <w:b/>
          <w:bCs/>
          <w:sz w:val="24"/>
          <w:szCs w:val="24"/>
        </w:rPr>
      </w:pPr>
      <w:r w:rsidRPr="007055FF">
        <w:rPr>
          <w:rFonts w:asciiTheme="majorBidi" w:hAnsiTheme="majorBidi" w:cstheme="majorBidi"/>
          <w:b/>
          <w:bCs/>
          <w:sz w:val="24"/>
          <w:szCs w:val="24"/>
        </w:rPr>
        <w:t xml:space="preserve">1.2. Skills, knowledge and </w:t>
      </w:r>
      <w:proofErr w:type="gramStart"/>
      <w:r w:rsidRPr="007055FF">
        <w:rPr>
          <w:rFonts w:asciiTheme="majorBidi" w:hAnsiTheme="majorBidi" w:cstheme="majorBidi"/>
          <w:b/>
          <w:bCs/>
          <w:sz w:val="24"/>
          <w:szCs w:val="24"/>
        </w:rPr>
        <w:t>learning:</w:t>
      </w:r>
      <w:proofErr w:type="gramEnd"/>
      <w:r w:rsidRPr="007055FF">
        <w:rPr>
          <w:rFonts w:asciiTheme="majorBidi" w:hAnsiTheme="majorBidi" w:cstheme="majorBidi"/>
          <w:b/>
          <w:bCs/>
          <w:sz w:val="24"/>
          <w:szCs w:val="24"/>
        </w:rPr>
        <w:t xml:space="preserve"> for organizational dynamics</w:t>
      </w:r>
    </w:p>
    <w:p w14:paraId="03D6593B"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Skills, within an organization, are not reduced to individual know-how, but they emerge as organizational routines, the result of the interaction between technology, collective learning and organizational processes (Lau et al., 2019). They thus take on a systemic dimension and embody, in a way, the company's memory. For Schutte et al. (2016), competence is a complex and polysemic notion, which does not pre-exist the person who acquires it. It is built in action, through a unique combination of five </w:t>
      </w:r>
      <w:proofErr w:type="gramStart"/>
      <w:r w:rsidRPr="007055FF">
        <w:rPr>
          <w:rFonts w:asciiTheme="majorBidi" w:hAnsiTheme="majorBidi" w:cstheme="majorBidi"/>
          <w:sz w:val="24"/>
          <w:szCs w:val="24"/>
        </w:rPr>
        <w:t>dimensions:</w:t>
      </w:r>
      <w:proofErr w:type="gramEnd"/>
      <w:r w:rsidRPr="007055FF">
        <w:rPr>
          <w:rFonts w:asciiTheme="majorBidi" w:hAnsiTheme="majorBidi" w:cstheme="majorBidi"/>
          <w:sz w:val="24"/>
          <w:szCs w:val="24"/>
        </w:rPr>
        <w:t xml:space="preserve"> cognitive, affective, social, cultural and praxeological (Vykhrushch et al., 2022) which interact at three levels: individual, collective and </w:t>
      </w:r>
      <w:r w:rsidRPr="007055FF">
        <w:rPr>
          <w:rFonts w:asciiTheme="majorBidi" w:hAnsiTheme="majorBidi" w:cstheme="majorBidi"/>
          <w:sz w:val="24"/>
          <w:szCs w:val="24"/>
        </w:rPr>
        <w:lastRenderedPageBreak/>
        <w:t xml:space="preserve">organizational. Thus, competence is not a fixed state, but a dynamic process, in perpetual evolution. </w:t>
      </w:r>
    </w:p>
    <w:p w14:paraId="7B730BE1" w14:textId="509BCB62"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Competence is intrinsically linked to action, but it only takes on its full meaning through its organizational anchoring. In other words, a competence only exists if the organization recognizes it and gives it legitimacy. As Trippl et al. (2015) point out, competence acquires “organizational thickness” through this recognition. Fielding (2023) adds that competences can only be understood through the dynamics of three interconnected </w:t>
      </w:r>
      <w:proofErr w:type="gramStart"/>
      <w:r w:rsidRPr="007055FF">
        <w:rPr>
          <w:rFonts w:asciiTheme="majorBidi" w:hAnsiTheme="majorBidi" w:cstheme="majorBidi"/>
          <w:sz w:val="24"/>
          <w:szCs w:val="24"/>
        </w:rPr>
        <w:t>fields:</w:t>
      </w:r>
      <w:proofErr w:type="gramEnd"/>
      <w:r w:rsidRPr="007055FF">
        <w:rPr>
          <w:rFonts w:asciiTheme="majorBidi" w:hAnsiTheme="majorBidi" w:cstheme="majorBidi"/>
          <w:sz w:val="24"/>
          <w:szCs w:val="24"/>
        </w:rPr>
        <w:t xml:space="preserve"> professional experience, socialization path and training. This perspective highlights the processual nature of competence, which is constantly built and reconfigured.</w:t>
      </w:r>
    </w:p>
    <w:p w14:paraId="079BB692"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This complexity makes the notion of competence difficult to grasp, but it also makes it rich. To remain relevant, a competence must evolve in line with the needs of the organization, through a continuous process of learning and reinvention (Willbergh, 2015). It is in this dynamic that the true value of skills for a company lies.</w:t>
      </w:r>
    </w:p>
    <w:p w14:paraId="4B7A821B"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Knowledge, for its part, is deeply rooted in praxis, that is, in action and experience (Eisner, 2022). However, its evolution is not linear. It </w:t>
      </w:r>
      <w:proofErr w:type="gramStart"/>
      <w:r w:rsidRPr="007055FF">
        <w:rPr>
          <w:rFonts w:asciiTheme="majorBidi" w:hAnsiTheme="majorBidi" w:cstheme="majorBidi"/>
          <w:sz w:val="24"/>
          <w:szCs w:val="24"/>
        </w:rPr>
        <w:t>progresses</w:t>
      </w:r>
      <w:proofErr w:type="gramEnd"/>
      <w:r w:rsidRPr="007055FF">
        <w:rPr>
          <w:rFonts w:asciiTheme="majorBidi" w:hAnsiTheme="majorBidi" w:cstheme="majorBidi"/>
          <w:sz w:val="24"/>
          <w:szCs w:val="24"/>
        </w:rPr>
        <w:t xml:space="preserve"> through sedimentation, but also through ruptures, questioning, and conceptual revolutions. Knowledge has long been the subject of in-depth research, both on its modes of creation and on its mechanisms of diffusion and evolution. Edgar Morin (1986), in his work “The Method,” devotes an entire volume to the “knowledge of knowledge” (Pereira, 2023). For him, knowledge is a multidimensional phenomenon, at once physical, biological, cerebral, mental, psychological, cultural, and social. It cannot be reduced to a single approach, because it is intrinsically linked to the individual’s representation of the world. </w:t>
      </w:r>
    </w:p>
    <w:p w14:paraId="0DAEF962" w14:textId="5129CBC1"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Morin (1977) emphasizes that knowing and being are </w:t>
      </w:r>
      <w:proofErr w:type="gramStart"/>
      <w:r w:rsidRPr="007055FF">
        <w:rPr>
          <w:rFonts w:asciiTheme="majorBidi" w:hAnsiTheme="majorBidi" w:cstheme="majorBidi"/>
          <w:sz w:val="24"/>
          <w:szCs w:val="24"/>
        </w:rPr>
        <w:t>inseparable:</w:t>
      </w:r>
      <w:proofErr w:type="gramEnd"/>
      <w:r w:rsidRPr="007055FF">
        <w:rPr>
          <w:rFonts w:asciiTheme="majorBidi" w:hAnsiTheme="majorBidi" w:cstheme="majorBidi"/>
          <w:sz w:val="24"/>
          <w:szCs w:val="24"/>
        </w:rPr>
        <w:t xml:space="preserve"> “It is not only being that conditions knowing, but it is also knowledge that conditions being” (Heath-Carpentier, 2022). This idea is consistent with the Cartesian cogito, according to which the subject emerges in and through reflection on his own thought. Thus, being and knowing mutually engender each other in a recursive loop, where each act of knowledge transforms both the subject and the object of knowledge.</w:t>
      </w:r>
    </w:p>
    <w:p w14:paraId="0579E2B5" w14:textId="77777777" w:rsidR="007055FF" w:rsidRP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This perspective is taken up by Akehurst et al. (2011), for them "knowledge is ontological". In other words, knowledge is inseparable from the one who produces it. This idea raises a fundamental </w:t>
      </w:r>
      <w:proofErr w:type="gramStart"/>
      <w:r w:rsidRPr="007055FF">
        <w:rPr>
          <w:rFonts w:asciiTheme="majorBidi" w:hAnsiTheme="majorBidi" w:cstheme="majorBidi"/>
          <w:sz w:val="24"/>
          <w:szCs w:val="24"/>
        </w:rPr>
        <w:t>question:</w:t>
      </w:r>
      <w:proofErr w:type="gramEnd"/>
      <w:r w:rsidRPr="007055FF">
        <w:rPr>
          <w:rFonts w:asciiTheme="majorBidi" w:hAnsiTheme="majorBidi" w:cstheme="majorBidi"/>
          <w:sz w:val="24"/>
          <w:szCs w:val="24"/>
        </w:rPr>
        <w:t xml:space="preserve"> is knowledge a prisoner of the one who states it? This question, already present among ancient philosophers, has been widely explored by the Palo Alto school. For </w:t>
      </w:r>
      <w:r w:rsidRPr="007055FF">
        <w:rPr>
          <w:rFonts w:asciiTheme="majorBidi" w:hAnsiTheme="majorBidi" w:cstheme="majorBidi"/>
          <w:sz w:val="24"/>
          <w:szCs w:val="24"/>
        </w:rPr>
        <w:lastRenderedPageBreak/>
        <w:t>these researchers, knowledge does not reflect an objective reality, but rather an ordering of the world based on our experience. However, this experience is not based on any absolute foundation. As Akehurst et al. (2011) explain, our interpretations are the product of our history as living and social beings. Reality is therefore located in an in-between, where subject and object are inseparably linked.</w:t>
      </w:r>
    </w:p>
    <w:p w14:paraId="29E7AD26" w14:textId="77777777" w:rsidR="007055FF" w:rsidRDefault="007055FF" w:rsidP="007055F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For its part, organizational learning is a complex process, which cannot be reduced to the accumulation of knowledge or skills. As Barrett (2017) points out, organizations do not have a purpose in </w:t>
      </w:r>
      <w:proofErr w:type="gramStart"/>
      <w:r w:rsidRPr="007055FF">
        <w:rPr>
          <w:rFonts w:asciiTheme="majorBidi" w:hAnsiTheme="majorBidi" w:cstheme="majorBidi"/>
          <w:sz w:val="24"/>
          <w:szCs w:val="24"/>
        </w:rPr>
        <w:t>themselves;</w:t>
      </w:r>
      <w:proofErr w:type="gramEnd"/>
      <w:r w:rsidRPr="007055FF">
        <w:rPr>
          <w:rFonts w:asciiTheme="majorBidi" w:hAnsiTheme="majorBidi" w:cstheme="majorBidi"/>
          <w:sz w:val="24"/>
          <w:szCs w:val="24"/>
        </w:rPr>
        <w:t xml:space="preserve"> individuals and coalitions do. Actors act according to a bounded rationality, guided by the criteria on which they feel judged. At the same time, they develop zones of uncertainty to preserve their individual freedom. This tension between rationality and freedom is at the heart of organizational learning. </w:t>
      </w:r>
    </w:p>
    <w:p w14:paraId="3175358B" w14:textId="77777777" w:rsidR="007055FF" w:rsidRDefault="007055FF" w:rsidP="00A7363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 xml:space="preserve">Barrett (2017) illustrates this idea with a </w:t>
      </w:r>
      <w:proofErr w:type="gramStart"/>
      <w:r w:rsidRPr="007055FF">
        <w:rPr>
          <w:rFonts w:asciiTheme="majorBidi" w:hAnsiTheme="majorBidi" w:cstheme="majorBidi"/>
          <w:sz w:val="24"/>
          <w:szCs w:val="24"/>
        </w:rPr>
        <w:t>metaphor:</w:t>
      </w:r>
      <w:proofErr w:type="gramEnd"/>
      <w:r w:rsidRPr="007055FF">
        <w:rPr>
          <w:rFonts w:asciiTheme="majorBidi" w:hAnsiTheme="majorBidi" w:cstheme="majorBidi"/>
          <w:sz w:val="24"/>
          <w:szCs w:val="24"/>
        </w:rPr>
        <w:t xml:space="preserve"> a man looks for his keys under a street lamp, not because he lost them there, but because that is where there is light. Similarly, organizational actors tend to look for solutions in the vicinity of the problems they encounter, rather than questioning their frames of reference. Sometimes, they even invent problems to justify solutions that are already available. This metaphor highlights the limits of organizational learning, which is often hampered by routines and cognitive biases. </w:t>
      </w:r>
    </w:p>
    <w:p w14:paraId="2FFAF639" w14:textId="37EA4566" w:rsidR="007055FF" w:rsidRPr="007055FF" w:rsidRDefault="007055FF" w:rsidP="00A7363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In short, skills and knowledge are at the heart of organizational dynamics (Allee, 2012). Skills, as organizational routines, are constantly built and reconfigured through learning. Knowledge, for its part, is the result of a complex interaction between the individual and their environment. It evolves in a non-linear manner, through processes of sedimentation and rupture.</w:t>
      </w:r>
    </w:p>
    <w:p w14:paraId="49C4B296" w14:textId="77777777" w:rsidR="007055FF" w:rsidRPr="007055FF" w:rsidRDefault="007055FF" w:rsidP="00A7363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For organizations, skills and knowledge management represents a major challenge. It requires creating environments conducive to learning, where individuals can experiment, share and question their knowledge. It also requires recognizing the systemic dimension of skills, which are not reduced to individual know-how, but are anchored in collective and organizational practices.</w:t>
      </w:r>
    </w:p>
    <w:p w14:paraId="1C48540D" w14:textId="1A040215" w:rsidR="007055FF" w:rsidRDefault="007055FF" w:rsidP="00A7363F">
      <w:pPr>
        <w:spacing w:after="120" w:line="360" w:lineRule="auto"/>
        <w:jc w:val="both"/>
        <w:rPr>
          <w:rFonts w:asciiTheme="majorBidi" w:hAnsiTheme="majorBidi" w:cstheme="majorBidi"/>
          <w:sz w:val="24"/>
          <w:szCs w:val="24"/>
        </w:rPr>
      </w:pPr>
      <w:r w:rsidRPr="007055FF">
        <w:rPr>
          <w:rFonts w:asciiTheme="majorBidi" w:hAnsiTheme="majorBidi" w:cstheme="majorBidi"/>
          <w:sz w:val="24"/>
          <w:szCs w:val="24"/>
        </w:rPr>
        <w:t>In a constantly changing world, this ability to learn, innovate and adapt is becoming a strategic issue for companies. Organizations that manage to integrate this dynamic into their culture and practices are those that will be best equipped to face the challenges of tomorrow.</w:t>
      </w:r>
    </w:p>
    <w:p w14:paraId="62268037" w14:textId="77777777" w:rsidR="007055FF" w:rsidRDefault="007055FF" w:rsidP="00A7363F">
      <w:pPr>
        <w:spacing w:after="120" w:line="360" w:lineRule="auto"/>
        <w:jc w:val="both"/>
        <w:rPr>
          <w:rFonts w:asciiTheme="majorBidi" w:hAnsiTheme="majorBidi" w:cstheme="majorBidi"/>
          <w:sz w:val="24"/>
          <w:szCs w:val="24"/>
        </w:rPr>
      </w:pPr>
    </w:p>
    <w:p w14:paraId="6E7091F8" w14:textId="77777777" w:rsidR="00A7363F" w:rsidRPr="00A7363F" w:rsidRDefault="00A7363F" w:rsidP="00A7363F">
      <w:pPr>
        <w:spacing w:after="120" w:line="360" w:lineRule="auto"/>
        <w:jc w:val="both"/>
        <w:rPr>
          <w:rFonts w:asciiTheme="majorBidi" w:hAnsiTheme="majorBidi" w:cstheme="majorBidi"/>
          <w:b/>
          <w:bCs/>
          <w:sz w:val="24"/>
          <w:szCs w:val="24"/>
        </w:rPr>
      </w:pPr>
      <w:r w:rsidRPr="00A7363F">
        <w:rPr>
          <w:rFonts w:asciiTheme="majorBidi" w:hAnsiTheme="majorBidi" w:cstheme="majorBidi"/>
          <w:b/>
          <w:bCs/>
          <w:sz w:val="24"/>
          <w:szCs w:val="24"/>
        </w:rPr>
        <w:t>1..3. Learning, unlearning and organizational issues</w:t>
      </w:r>
    </w:p>
    <w:p w14:paraId="6F9CDA84"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lastRenderedPageBreak/>
        <w:t xml:space="preserve">The idea of ​​an ideal organization, where each individual would actively contribute to a collective of knowledge and skills, raises fundamental questions. As Barrett (2017) points out, can we really decree </w:t>
      </w:r>
      <w:proofErr w:type="gramStart"/>
      <w:r w:rsidRPr="00A7363F">
        <w:rPr>
          <w:rFonts w:asciiTheme="majorBidi" w:hAnsiTheme="majorBidi" w:cstheme="majorBidi"/>
          <w:sz w:val="24"/>
          <w:szCs w:val="24"/>
        </w:rPr>
        <w:t>learning?</w:t>
      </w:r>
      <w:proofErr w:type="gramEnd"/>
      <w:r w:rsidRPr="00A7363F">
        <w:rPr>
          <w:rFonts w:asciiTheme="majorBidi" w:hAnsiTheme="majorBidi" w:cstheme="majorBidi"/>
          <w:sz w:val="24"/>
          <w:szCs w:val="24"/>
        </w:rPr>
        <w:t xml:space="preserve"> And who, within the organization, has the necessary legitimacy to demand that everyone share their skills and participate in building collective </w:t>
      </w:r>
      <w:proofErr w:type="gramStart"/>
      <w:r w:rsidRPr="00A7363F">
        <w:rPr>
          <w:rFonts w:asciiTheme="majorBidi" w:hAnsiTheme="majorBidi" w:cstheme="majorBidi"/>
          <w:sz w:val="24"/>
          <w:szCs w:val="24"/>
        </w:rPr>
        <w:t>intelligence?</w:t>
      </w:r>
      <w:proofErr w:type="gramEnd"/>
      <w:r w:rsidRPr="00A7363F">
        <w:rPr>
          <w:rFonts w:asciiTheme="majorBidi" w:hAnsiTheme="majorBidi" w:cstheme="majorBidi"/>
          <w:sz w:val="24"/>
          <w:szCs w:val="24"/>
        </w:rPr>
        <w:t xml:space="preserve"> This question is all the more crucial since, for many actors, individual skills represent an essential currency of exchange, or even the only source of power and negotiation in the company. In this context, why would they agree to give up this personal capital to enrich a “common pot” of collective skills, at the risk of becoming interchangeable, and therefore </w:t>
      </w:r>
      <w:proofErr w:type="gramStart"/>
      <w:r w:rsidRPr="00A7363F">
        <w:rPr>
          <w:rFonts w:asciiTheme="majorBidi" w:hAnsiTheme="majorBidi" w:cstheme="majorBidi"/>
          <w:sz w:val="24"/>
          <w:szCs w:val="24"/>
        </w:rPr>
        <w:t>replaceable?</w:t>
      </w:r>
      <w:proofErr w:type="gramEnd"/>
    </w:p>
    <w:p w14:paraId="7A75FC87"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This approach involves a form of alienation, in the primary sense of the term. Sharing knowledge, formalizing it and transforming it into an element of the company's heritage is, in a way, dispossessing oneself of a part of oneself. As Bruseker et al. (2017) note, it is unrealistic to assume that actors and groups will spontaneously agree to play this game. Resistance, whether passive or active, is inevitable, and the risk of seeing ineffective or unused systems emerge is high. This shows that the implementation of knowledge and skills management cannot simply be part of a classic organizational model, based on rigid hierarchies and contractual relationships. It requires a more subtle approach, which takes into account human dynamics and power issues. Furthermore, learning is not just a simple cumulative process. It also involves, at certain times, questioning existing knowledge and representations. </w:t>
      </w:r>
    </w:p>
    <w:p w14:paraId="2954BC53"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However, while learning is often valued, the issue of unlearning is rarely addressed. Yet, as Vu and Nguyen (2022) point out, unlearning is critical in these chaotic times, because many of our hard-earned cores of knowledge, our most basic intuitions and opinions are based on assumptions that are no longer true at all. In other words, to progress, we sometimes have to know how to abandon what made us strong in the past. </w:t>
      </w:r>
    </w:p>
    <w:p w14:paraId="13B47A07" w14:textId="1B65BEC8" w:rsidR="007055F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Machlup (2014) proposes an interesting equation to define knowledge in the </w:t>
      </w:r>
      <w:proofErr w:type="gramStart"/>
      <w:r w:rsidRPr="00A7363F">
        <w:rPr>
          <w:rFonts w:asciiTheme="majorBidi" w:hAnsiTheme="majorBidi" w:cstheme="majorBidi"/>
          <w:sz w:val="24"/>
          <w:szCs w:val="24"/>
        </w:rPr>
        <w:t>company:</w:t>
      </w:r>
      <w:proofErr w:type="gramEnd"/>
      <w:r w:rsidRPr="00A7363F">
        <w:rPr>
          <w:rFonts w:asciiTheme="majorBidi" w:hAnsiTheme="majorBidi" w:cstheme="majorBidi"/>
          <w:sz w:val="24"/>
          <w:szCs w:val="24"/>
        </w:rPr>
        <w:t xml:space="preserve"> it would be the sum of acquired knowledge, plus experience, minus obsolete knowledge. However, the author does not specify how to identify and eliminate this obsolete knowledge. This is where the challenge of unlearning lies, a complex and often painful process, but essential to adapt to change.</w:t>
      </w:r>
    </w:p>
    <w:p w14:paraId="44DD87D2"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To better understand these processes, Johannessen's (2021) research provides a useful framework. They distinguish three modes of </w:t>
      </w:r>
      <w:proofErr w:type="gramStart"/>
      <w:r w:rsidRPr="00A7363F">
        <w:rPr>
          <w:rFonts w:asciiTheme="majorBidi" w:hAnsiTheme="majorBidi" w:cstheme="majorBidi"/>
          <w:sz w:val="24"/>
          <w:szCs w:val="24"/>
        </w:rPr>
        <w:t>learning:</w:t>
      </w:r>
      <w:proofErr w:type="gramEnd"/>
    </w:p>
    <w:p w14:paraId="01B04E39" w14:textId="03DFAB76" w:rsidR="00A7363F" w:rsidRPr="00A7363F" w:rsidRDefault="00A7363F" w:rsidP="00A7363F">
      <w:pPr>
        <w:pStyle w:val="Paragraphedeliste"/>
        <w:numPr>
          <w:ilvl w:val="0"/>
          <w:numId w:val="2"/>
        </w:numPr>
        <w:spacing w:after="120" w:line="360" w:lineRule="auto"/>
        <w:ind w:left="284" w:hanging="284"/>
        <w:contextualSpacing w:val="0"/>
        <w:jc w:val="both"/>
        <w:rPr>
          <w:rFonts w:asciiTheme="majorBidi" w:hAnsiTheme="majorBidi" w:cstheme="majorBidi"/>
          <w:sz w:val="24"/>
          <w:szCs w:val="24"/>
        </w:rPr>
      </w:pPr>
      <w:r w:rsidRPr="00A7363F">
        <w:rPr>
          <w:rFonts w:asciiTheme="majorBidi" w:hAnsiTheme="majorBidi" w:cstheme="majorBidi"/>
          <w:sz w:val="24"/>
          <w:szCs w:val="24"/>
        </w:rPr>
        <w:lastRenderedPageBreak/>
        <w:t xml:space="preserve">Single-loop </w:t>
      </w:r>
      <w:proofErr w:type="gramStart"/>
      <w:r w:rsidRPr="00A7363F">
        <w:rPr>
          <w:rFonts w:asciiTheme="majorBidi" w:hAnsiTheme="majorBidi" w:cstheme="majorBidi"/>
          <w:sz w:val="24"/>
          <w:szCs w:val="24"/>
        </w:rPr>
        <w:t>learning:</w:t>
      </w:r>
      <w:proofErr w:type="gramEnd"/>
      <w:r w:rsidRPr="00A7363F">
        <w:rPr>
          <w:rFonts w:asciiTheme="majorBidi" w:hAnsiTheme="majorBidi" w:cstheme="majorBidi"/>
          <w:sz w:val="24"/>
          <w:szCs w:val="24"/>
        </w:rPr>
        <w:t xml:space="preserve"> here, learning is limited to adjusting actions without questioning the underlying representations. This is a conservative mode, where we seek to improve efficiency without questioning the foundations.</w:t>
      </w:r>
    </w:p>
    <w:p w14:paraId="63B58665" w14:textId="7F0B7E85" w:rsidR="00A7363F" w:rsidRPr="00A7363F" w:rsidRDefault="00A7363F" w:rsidP="00A7363F">
      <w:pPr>
        <w:pStyle w:val="Paragraphedeliste"/>
        <w:numPr>
          <w:ilvl w:val="0"/>
          <w:numId w:val="2"/>
        </w:numPr>
        <w:spacing w:after="120" w:line="360" w:lineRule="auto"/>
        <w:ind w:left="284" w:hanging="284"/>
        <w:contextualSpacing w:val="0"/>
        <w:jc w:val="both"/>
        <w:rPr>
          <w:rFonts w:asciiTheme="majorBidi" w:hAnsiTheme="majorBidi" w:cstheme="majorBidi"/>
          <w:sz w:val="24"/>
          <w:szCs w:val="24"/>
        </w:rPr>
      </w:pPr>
      <w:r w:rsidRPr="00A7363F">
        <w:rPr>
          <w:rFonts w:asciiTheme="majorBidi" w:hAnsiTheme="majorBidi" w:cstheme="majorBidi"/>
          <w:sz w:val="24"/>
          <w:szCs w:val="24"/>
        </w:rPr>
        <w:t xml:space="preserve">Double-loop </w:t>
      </w:r>
      <w:proofErr w:type="gramStart"/>
      <w:r w:rsidRPr="00A7363F">
        <w:rPr>
          <w:rFonts w:asciiTheme="majorBidi" w:hAnsiTheme="majorBidi" w:cstheme="majorBidi"/>
          <w:sz w:val="24"/>
          <w:szCs w:val="24"/>
        </w:rPr>
        <w:t>learning:</w:t>
      </w:r>
      <w:proofErr w:type="gramEnd"/>
      <w:r w:rsidRPr="00A7363F">
        <w:rPr>
          <w:rFonts w:asciiTheme="majorBidi" w:hAnsiTheme="majorBidi" w:cstheme="majorBidi"/>
          <w:sz w:val="24"/>
          <w:szCs w:val="24"/>
        </w:rPr>
        <w:t xml:space="preserve"> in this mode, learning goes further by questioning representations and mental schemas. It allows for a profound restructuring of knowledge and skills.</w:t>
      </w:r>
    </w:p>
    <w:p w14:paraId="45F1B88B" w14:textId="72A7C5EA" w:rsidR="00A7363F" w:rsidRPr="00A7363F" w:rsidRDefault="00A7363F" w:rsidP="00A7363F">
      <w:pPr>
        <w:pStyle w:val="Paragraphedeliste"/>
        <w:numPr>
          <w:ilvl w:val="0"/>
          <w:numId w:val="2"/>
        </w:numPr>
        <w:spacing w:after="120" w:line="360" w:lineRule="auto"/>
        <w:ind w:left="284" w:hanging="284"/>
        <w:contextualSpacing w:val="0"/>
        <w:jc w:val="both"/>
        <w:rPr>
          <w:rFonts w:asciiTheme="majorBidi" w:hAnsiTheme="majorBidi" w:cstheme="majorBidi"/>
          <w:sz w:val="24"/>
          <w:szCs w:val="24"/>
        </w:rPr>
      </w:pPr>
      <w:r w:rsidRPr="00A7363F">
        <w:rPr>
          <w:rFonts w:asciiTheme="majorBidi" w:hAnsiTheme="majorBidi" w:cstheme="majorBidi"/>
          <w:sz w:val="24"/>
          <w:szCs w:val="24"/>
        </w:rPr>
        <w:t>Deutero-</w:t>
      </w:r>
      <w:proofErr w:type="gramStart"/>
      <w:r w:rsidRPr="00A7363F">
        <w:rPr>
          <w:rFonts w:asciiTheme="majorBidi" w:hAnsiTheme="majorBidi" w:cstheme="majorBidi"/>
          <w:sz w:val="24"/>
          <w:szCs w:val="24"/>
        </w:rPr>
        <w:t>learning:</w:t>
      </w:r>
      <w:proofErr w:type="gramEnd"/>
      <w:r w:rsidRPr="00A7363F">
        <w:rPr>
          <w:rFonts w:asciiTheme="majorBidi" w:hAnsiTheme="majorBidi" w:cstheme="majorBidi"/>
          <w:sz w:val="24"/>
          <w:szCs w:val="24"/>
        </w:rPr>
        <w:t xml:space="preserve"> this third mode consists of "learning to learn". The individual or organization develops an ability to continuously improve learning processes, by breaking out of routines and integrating the ability to unlearn in order to better relearn.</w:t>
      </w:r>
    </w:p>
    <w:p w14:paraId="27FD215F"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This third mode is particularly relevant in a context of rapid change. It allows stakeholders to free themselves from organizational routines, to unlearn what is no longer relevant and to recreate skills adapted to new challenges. In short, it is a proactive approach, which places learning at the heart of the adaptation and innovation strategy. </w:t>
      </w:r>
    </w:p>
    <w:p w14:paraId="515D2A46" w14:textId="3C9129CB"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Ultimately, knowledge and skills management cannot be reduced to a simple logic of sharing or collectivization. It must take into account individual resistance, power issues and the need to unlearn in order to better relearn. Organizations that manage to integrate these dimensions into their culture and practices are those that will be best equipped to face the challenges of a constantly changing world. The challenge is to create an environment where learning, including unlearning, becomes a collective skill, serving innovation and performance.</w:t>
      </w:r>
    </w:p>
    <w:p w14:paraId="0250E02C" w14:textId="77777777" w:rsidR="00A7363F" w:rsidRDefault="00A7363F" w:rsidP="00A7363F">
      <w:pPr>
        <w:spacing w:after="120" w:line="360" w:lineRule="auto"/>
        <w:jc w:val="both"/>
        <w:rPr>
          <w:rFonts w:asciiTheme="majorBidi" w:hAnsiTheme="majorBidi" w:cstheme="majorBidi"/>
          <w:sz w:val="24"/>
          <w:szCs w:val="24"/>
        </w:rPr>
      </w:pPr>
    </w:p>
    <w:p w14:paraId="3B64E832" w14:textId="77777777" w:rsidR="00A7363F" w:rsidRPr="00A7363F" w:rsidRDefault="00A7363F" w:rsidP="00A7363F">
      <w:pPr>
        <w:spacing w:after="120" w:line="360" w:lineRule="auto"/>
        <w:jc w:val="both"/>
        <w:rPr>
          <w:rFonts w:asciiTheme="majorBidi" w:hAnsiTheme="majorBidi" w:cstheme="majorBidi"/>
          <w:b/>
          <w:bCs/>
          <w:sz w:val="24"/>
          <w:szCs w:val="24"/>
        </w:rPr>
      </w:pPr>
      <w:r w:rsidRPr="00A7363F">
        <w:rPr>
          <w:rFonts w:asciiTheme="majorBidi" w:hAnsiTheme="majorBidi" w:cstheme="majorBidi"/>
          <w:b/>
          <w:bCs/>
          <w:sz w:val="24"/>
          <w:szCs w:val="24"/>
        </w:rPr>
        <w:t>1.4. For a global knowledge management</w:t>
      </w:r>
    </w:p>
    <w:p w14:paraId="292C9391"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For Mohajan (2016), knowledge and skills are two facets of the same reality, inseparable and complementary. Competence represents, in a way, the most advanced stage of knowledge, where theoretical knowledge is transformed into the capacity for action. On the other hand, Durst and Zieba (2019) advocate for a joint management of knowledge and skills, because their artificial separation harms a global vision of knowledge in the organization. The distinction between these two notions is mainly based on two </w:t>
      </w:r>
      <w:proofErr w:type="gramStart"/>
      <w:r w:rsidRPr="00A7363F">
        <w:rPr>
          <w:rFonts w:asciiTheme="majorBidi" w:hAnsiTheme="majorBidi" w:cstheme="majorBidi"/>
          <w:sz w:val="24"/>
          <w:szCs w:val="24"/>
        </w:rPr>
        <w:t>dimensions:</w:t>
      </w:r>
      <w:proofErr w:type="gramEnd"/>
      <w:r w:rsidRPr="00A7363F">
        <w:rPr>
          <w:rFonts w:asciiTheme="majorBidi" w:hAnsiTheme="majorBidi" w:cstheme="majorBidi"/>
          <w:sz w:val="24"/>
          <w:szCs w:val="24"/>
        </w:rPr>
        <w:t xml:space="preserve"> "tekhné", i.e. the practical mastery of applied knowledge, and the tacit dimension, which encompasses expertise acquired through experience and difficult to express in words or codes (Rice, 2015).</w:t>
      </w:r>
    </w:p>
    <w:p w14:paraId="4A6421F6"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This tacit dimension is particularly complex to grasp, because it does not reside solely in the individual. It is also the result of the relational connections that the individual has woven with his environment, both inside and outside the company. As Mohajan (2016) points out, tacit </w:t>
      </w:r>
      <w:r w:rsidRPr="00A7363F">
        <w:rPr>
          <w:rFonts w:asciiTheme="majorBidi" w:hAnsiTheme="majorBidi" w:cstheme="majorBidi"/>
          <w:sz w:val="24"/>
          <w:szCs w:val="24"/>
        </w:rPr>
        <w:lastRenderedPageBreak/>
        <w:t xml:space="preserve">knowledge is partly social and cultural. Koopmans et al. (2019) thus speak of social synapses, these invisible networks of knowledge to which the individual belongs. A person's competence therefore depends not only on his personal knowledge, but also on the networks in which he participates. This is what the Anglo-Saxons call the invisible college, a space for sharing and informal exchange that nourishes expertise (Altbach, 2013). </w:t>
      </w:r>
    </w:p>
    <w:p w14:paraId="508B7D19"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However, as Barrett (2017) warns, an organization cannot simply manage its knowledge through its codification and dissemination. Such an approach risks missing the </w:t>
      </w:r>
      <w:proofErr w:type="gramStart"/>
      <w:r w:rsidRPr="00A7363F">
        <w:rPr>
          <w:rFonts w:asciiTheme="majorBidi" w:hAnsiTheme="majorBidi" w:cstheme="majorBidi"/>
          <w:sz w:val="24"/>
          <w:szCs w:val="24"/>
        </w:rPr>
        <w:t>essential:</w:t>
      </w:r>
      <w:proofErr w:type="gramEnd"/>
      <w:r w:rsidRPr="00A7363F">
        <w:rPr>
          <w:rFonts w:asciiTheme="majorBidi" w:hAnsiTheme="majorBidi" w:cstheme="majorBidi"/>
          <w:sz w:val="24"/>
          <w:szCs w:val="24"/>
        </w:rPr>
        <w:t xml:space="preserve"> tacit knowledge, that which cannot be expressed clearly, but which is nevertheless at the heart of expertise. When companies implement knowledge engineering systems based on trees or databases, they often prioritize productivity and the efficiency of information exchanges. But what about skills </w:t>
      </w:r>
      <w:proofErr w:type="gramStart"/>
      <w:r w:rsidRPr="00A7363F">
        <w:rPr>
          <w:rFonts w:asciiTheme="majorBidi" w:hAnsiTheme="majorBidi" w:cstheme="majorBidi"/>
          <w:sz w:val="24"/>
          <w:szCs w:val="24"/>
        </w:rPr>
        <w:t>exchanges?</w:t>
      </w:r>
      <w:proofErr w:type="gramEnd"/>
      <w:r w:rsidRPr="00A7363F">
        <w:rPr>
          <w:rFonts w:asciiTheme="majorBidi" w:hAnsiTheme="majorBidi" w:cstheme="majorBidi"/>
          <w:sz w:val="24"/>
          <w:szCs w:val="24"/>
        </w:rPr>
        <w:t xml:space="preserve"> These systems, although useful, only capture part of organizational knowledge, leaving aside the richness of informal interactions and implicit learning. </w:t>
      </w:r>
    </w:p>
    <w:p w14:paraId="765BF171" w14:textId="7E77AF42"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Barrett (2017) criticizes this approach by emphasizing that by imposing rigid rules and structures, we end up Taylorizing learning. By seeking to standardize good learning, we risk fragmenting knowledge and losing sight of its holistic dimension. This logic, taken to the extreme, can even institutionalize piecemeal practices, distancing individuals from true mastery of their profession.</w:t>
      </w:r>
    </w:p>
    <w:p w14:paraId="7DD16217"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With Hislop et al. (2018), we believe that knowledge management models must take into account two fundamental </w:t>
      </w:r>
      <w:proofErr w:type="gramStart"/>
      <w:r w:rsidRPr="00A7363F">
        <w:rPr>
          <w:rFonts w:asciiTheme="majorBidi" w:hAnsiTheme="majorBidi" w:cstheme="majorBidi"/>
          <w:sz w:val="24"/>
          <w:szCs w:val="24"/>
        </w:rPr>
        <w:t>realities:</w:t>
      </w:r>
      <w:proofErr w:type="gramEnd"/>
      <w:r w:rsidRPr="00A7363F">
        <w:rPr>
          <w:rFonts w:asciiTheme="majorBidi" w:hAnsiTheme="majorBidi" w:cstheme="majorBidi"/>
          <w:sz w:val="24"/>
          <w:szCs w:val="24"/>
        </w:rPr>
        <w:t xml:space="preserve"> on the one hand, knowledge is distributed in the organization, and on the other hand, it is diverse in its nature. However, in many companies, knowledge management is often entrusted to IT specialists, who focus on creating storage and dissemination systems, while skills management is the responsibility of HR managers, who focus on individual paths and career developments. This dichotomy prevents a global vision of knowledge and fragments the organization into silos. </w:t>
      </w:r>
    </w:p>
    <w:p w14:paraId="5FDE43A4"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In some research (Abubakar et al., </w:t>
      </w:r>
      <w:proofErr w:type="gramStart"/>
      <w:r w:rsidRPr="00A7363F">
        <w:rPr>
          <w:rFonts w:asciiTheme="majorBidi" w:hAnsiTheme="majorBidi" w:cstheme="majorBidi"/>
          <w:sz w:val="24"/>
          <w:szCs w:val="24"/>
        </w:rPr>
        <w:t>2019;</w:t>
      </w:r>
      <w:proofErr w:type="gramEnd"/>
      <w:r w:rsidRPr="00A7363F">
        <w:rPr>
          <w:rFonts w:asciiTheme="majorBidi" w:hAnsiTheme="majorBidi" w:cstheme="majorBidi"/>
          <w:sz w:val="24"/>
          <w:szCs w:val="24"/>
        </w:rPr>
        <w:t xml:space="preserve"> Rose &amp; Miller, 2017), particularly in the field of systems industries, we have observed that knowledge and skills are intrinsically linked. They form an inseparable whole, where theoretical knowledge and practical expertise feed each other. Separating knowledge management from skills management amounts to splitting individuals in </w:t>
      </w:r>
      <w:proofErr w:type="gramStart"/>
      <w:r w:rsidRPr="00A7363F">
        <w:rPr>
          <w:rFonts w:asciiTheme="majorBidi" w:hAnsiTheme="majorBidi" w:cstheme="majorBidi"/>
          <w:sz w:val="24"/>
          <w:szCs w:val="24"/>
        </w:rPr>
        <w:t>two:</w:t>
      </w:r>
      <w:proofErr w:type="gramEnd"/>
      <w:r w:rsidRPr="00A7363F">
        <w:rPr>
          <w:rFonts w:asciiTheme="majorBidi" w:hAnsiTheme="majorBidi" w:cstheme="majorBidi"/>
          <w:sz w:val="24"/>
          <w:szCs w:val="24"/>
        </w:rPr>
        <w:t xml:space="preserve"> on the one hand, the “thinking subjects”, encapsulated in computer systems, and on the other, the “acting subjects”, organized according to the logic of operational needs (Small &amp; Sage, 2006). This division is not only artificial, but also counterproductive, because it ignores </w:t>
      </w:r>
      <w:r w:rsidRPr="00A7363F">
        <w:rPr>
          <w:rFonts w:asciiTheme="majorBidi" w:hAnsiTheme="majorBidi" w:cstheme="majorBidi"/>
          <w:sz w:val="24"/>
          <w:szCs w:val="24"/>
        </w:rPr>
        <w:lastRenderedPageBreak/>
        <w:t xml:space="preserve">the ontological dimension of knowledge, that is to say its deep anchoring in the being and action of individuals. </w:t>
      </w:r>
    </w:p>
    <w:p w14:paraId="73CD55A7" w14:textId="64AD1A7E"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Some studies have shown that knowledge capitalization and skills management can be fruitfully articulated, particularly in complex and innovative projects (Kianto et al., </w:t>
      </w:r>
      <w:proofErr w:type="gramStart"/>
      <w:r w:rsidRPr="00A7363F">
        <w:rPr>
          <w:rFonts w:asciiTheme="majorBidi" w:hAnsiTheme="majorBidi" w:cstheme="majorBidi"/>
          <w:sz w:val="24"/>
          <w:szCs w:val="24"/>
        </w:rPr>
        <w:t>2017;</w:t>
      </w:r>
      <w:proofErr w:type="gramEnd"/>
      <w:r w:rsidRPr="00A7363F">
        <w:rPr>
          <w:rFonts w:asciiTheme="majorBidi" w:hAnsiTheme="majorBidi" w:cstheme="majorBidi"/>
          <w:sz w:val="24"/>
          <w:szCs w:val="24"/>
        </w:rPr>
        <w:t xml:space="preserve"> Zanzouri &amp; Francois, 2013; Mention, 2012). In these contexts, knowledge and skills are intertwined in a dynamic movement of permanent recomposition of knowledge. Individuals do not simply apply pre-existing </w:t>
      </w:r>
      <w:proofErr w:type="gramStart"/>
      <w:r w:rsidRPr="00A7363F">
        <w:rPr>
          <w:rFonts w:asciiTheme="majorBidi" w:hAnsiTheme="majorBidi" w:cstheme="majorBidi"/>
          <w:sz w:val="24"/>
          <w:szCs w:val="24"/>
        </w:rPr>
        <w:t>knowledge;</w:t>
      </w:r>
      <w:proofErr w:type="gramEnd"/>
      <w:r w:rsidRPr="00A7363F">
        <w:rPr>
          <w:rFonts w:asciiTheme="majorBidi" w:hAnsiTheme="majorBidi" w:cstheme="majorBidi"/>
          <w:sz w:val="24"/>
          <w:szCs w:val="24"/>
        </w:rPr>
        <w:t xml:space="preserve"> they adapt, enrich and transform them according to the challenges encountered. This dynamic is based on a constant interaction between explicit (codified) knowledge and tacit (experiential) knowledge, as well as </w:t>
      </w:r>
      <w:proofErr w:type="gramStart"/>
      <w:r w:rsidRPr="00A7363F">
        <w:rPr>
          <w:rFonts w:asciiTheme="majorBidi" w:hAnsiTheme="majorBidi" w:cstheme="majorBidi"/>
          <w:sz w:val="24"/>
          <w:szCs w:val="24"/>
        </w:rPr>
        <w:t>on</w:t>
      </w:r>
      <w:proofErr w:type="gramEnd"/>
      <w:r w:rsidRPr="00A7363F">
        <w:rPr>
          <w:rFonts w:asciiTheme="majorBidi" w:hAnsiTheme="majorBidi" w:cstheme="majorBidi"/>
          <w:sz w:val="24"/>
          <w:szCs w:val="24"/>
        </w:rPr>
        <w:t xml:space="preserve"> close collaboration between the different actors of the organization.</w:t>
      </w:r>
    </w:p>
    <w:p w14:paraId="778CADE5" w14:textId="275BD5F7" w:rsidR="007055F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In conclusion, global knowledge management must integrate both knowledge and skills, recognizing their interdependence and complementarity. It must also take into account the tacit and social dimension of knowledge, which often escapes formal systems. To achieve this, organizations must create environments conducive to collective learning, where individuals can share, experiment and co-construct constantly evolving knowledge. It is on this condition that they will be able to take full advantage of their intellectual capital and face the challenges of a constantly changing world.</w:t>
      </w:r>
    </w:p>
    <w:p w14:paraId="4BE14910" w14:textId="77777777" w:rsidR="007055FF" w:rsidRDefault="007055FF" w:rsidP="00A7363F">
      <w:pPr>
        <w:spacing w:after="120" w:line="360" w:lineRule="auto"/>
        <w:jc w:val="both"/>
        <w:rPr>
          <w:rFonts w:asciiTheme="majorBidi" w:hAnsiTheme="majorBidi" w:cstheme="majorBidi"/>
          <w:sz w:val="24"/>
          <w:szCs w:val="24"/>
        </w:rPr>
      </w:pPr>
    </w:p>
    <w:p w14:paraId="3D04111C" w14:textId="77777777" w:rsidR="00A7363F" w:rsidRPr="00A7363F" w:rsidRDefault="00A7363F" w:rsidP="00A7363F">
      <w:pPr>
        <w:spacing w:after="120" w:line="360" w:lineRule="auto"/>
        <w:jc w:val="both"/>
        <w:rPr>
          <w:rFonts w:asciiTheme="majorBidi" w:hAnsiTheme="majorBidi" w:cstheme="majorBidi"/>
          <w:b/>
          <w:bCs/>
          <w:sz w:val="24"/>
          <w:szCs w:val="24"/>
        </w:rPr>
      </w:pPr>
      <w:r w:rsidRPr="00A7363F">
        <w:rPr>
          <w:rFonts w:asciiTheme="majorBidi" w:hAnsiTheme="majorBidi" w:cstheme="majorBidi"/>
          <w:b/>
          <w:bCs/>
          <w:sz w:val="24"/>
          <w:szCs w:val="24"/>
        </w:rPr>
        <w:t>1.5. Lessons from the studies on knowledge and skills management</w:t>
      </w:r>
    </w:p>
    <w:p w14:paraId="6011356A"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Knowledge and skills management practices in companies are now the subject of a growing number of studies and publications. However, as we have previously highlighted, these studies mainly focus on large companies or on a specific type of SME, particularly those operating in technological sectors. These companies, often innovative and knowledge-intensive, offer a privileged field of study to understand how knowledge and skills are managed in dynamic and competitive environments.</w:t>
      </w:r>
    </w:p>
    <w:p w14:paraId="2E37A6ED"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According to Ornston (2012), in high-tech sectors, companies are characterized by a high growth rate, fierce international competition and rapid technological evolution. These particularities are accompanied by a specific profile of personnel, mainly composed of engineers and scientists, often young, independent and attracted by risk. These traits justify adapted human resources management, which emphasizes individual challenges, the entrepreneurial spirit, the creation of added value and the search for an efficient organization, often structured around projects and decentralized (Holbeche, </w:t>
      </w:r>
      <w:proofErr w:type="gramStart"/>
      <w:r w:rsidRPr="00A7363F">
        <w:rPr>
          <w:rFonts w:asciiTheme="majorBidi" w:hAnsiTheme="majorBidi" w:cstheme="majorBidi"/>
          <w:sz w:val="24"/>
          <w:szCs w:val="24"/>
        </w:rPr>
        <w:t>2022;</w:t>
      </w:r>
      <w:proofErr w:type="gramEnd"/>
      <w:r w:rsidRPr="00A7363F">
        <w:rPr>
          <w:rFonts w:asciiTheme="majorBidi" w:hAnsiTheme="majorBidi" w:cstheme="majorBidi"/>
          <w:sz w:val="24"/>
          <w:szCs w:val="24"/>
        </w:rPr>
        <w:t xml:space="preserve"> Doz, 2020; Pattanayak, </w:t>
      </w:r>
      <w:r w:rsidRPr="00A7363F">
        <w:rPr>
          <w:rFonts w:asciiTheme="majorBidi" w:hAnsiTheme="majorBidi" w:cstheme="majorBidi"/>
          <w:sz w:val="24"/>
          <w:szCs w:val="24"/>
        </w:rPr>
        <w:lastRenderedPageBreak/>
        <w:t xml:space="preserve">2020). The recognition of individual and collective contributions also plays a key role in motivating and retaining talent. </w:t>
      </w:r>
    </w:p>
    <w:p w14:paraId="63096545"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To attract, motivate and retain these highly qualified profiles, technology companies are developing specific tools and methods (Rodríguez-Sánchez et al., 2019). For example, some companies establish skills grids to assess the current skills of their employees and compare them to those needed to achieve their strategic objectives (Osmundsen, 2020). These grids are regularly reassessed to maintain a dynamic of continuous improvement. Other companies focus on trust and stress management by promoting teamwork, informal networks and coaching, while integrating a share of collective compensation to strengthen cohesion (Fregidou-Malama &amp; Hyder, 2021). Other companies have set up coaching programs to help their employees better manage their careers and develop their skills (Morandini et al., </w:t>
      </w:r>
      <w:proofErr w:type="gramStart"/>
      <w:r w:rsidRPr="00A7363F">
        <w:rPr>
          <w:rFonts w:asciiTheme="majorBidi" w:hAnsiTheme="majorBidi" w:cstheme="majorBidi"/>
          <w:sz w:val="24"/>
          <w:szCs w:val="24"/>
        </w:rPr>
        <w:t>2023;</w:t>
      </w:r>
      <w:proofErr w:type="gramEnd"/>
      <w:r w:rsidRPr="00A7363F">
        <w:rPr>
          <w:rFonts w:asciiTheme="majorBidi" w:hAnsiTheme="majorBidi" w:cstheme="majorBidi"/>
          <w:sz w:val="24"/>
          <w:szCs w:val="24"/>
        </w:rPr>
        <w:t xml:space="preserve"> Griffith et al., 2019). </w:t>
      </w:r>
    </w:p>
    <w:p w14:paraId="0EC02424" w14:textId="280BAD70" w:rsidR="007055F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These practices aim to both strengthen individual motivation and promote the emergence of collective skills. By encouraging autonomy, quality of life at work and management support, companies seek to create an environment conducive to learning and innovation (Morandini et al., 2023). Teamwork, risk-taking and employee empowerment are also encouraged, as is the capitalization of knowledge and skills (Osmundsen, 2020). These organizational methods stimulate not only individual performance, but also the company's ability to innovate and adapt to change.</w:t>
      </w:r>
    </w:p>
    <w:p w14:paraId="1D7B0013"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However, while large companies and technology SMEs seem well equipped to manage knowledge and skills, what about other SMEs, particularly those operating in less technological or less dynamic </w:t>
      </w:r>
      <w:proofErr w:type="gramStart"/>
      <w:r w:rsidRPr="00A7363F">
        <w:rPr>
          <w:rFonts w:asciiTheme="majorBidi" w:hAnsiTheme="majorBidi" w:cstheme="majorBidi"/>
          <w:sz w:val="24"/>
          <w:szCs w:val="24"/>
        </w:rPr>
        <w:t>sectors?</w:t>
      </w:r>
      <w:proofErr w:type="gramEnd"/>
      <w:r w:rsidRPr="00A7363F">
        <w:rPr>
          <w:rFonts w:asciiTheme="majorBidi" w:hAnsiTheme="majorBidi" w:cstheme="majorBidi"/>
          <w:sz w:val="24"/>
          <w:szCs w:val="24"/>
        </w:rPr>
        <w:t xml:space="preserve"> Studies on this subject are rarer, and skills management practices are often less formalized. However, these companies are just as faced with knowledge and skills management issues, even if they manifest themselves in different ways. </w:t>
      </w:r>
    </w:p>
    <w:p w14:paraId="39905604" w14:textId="15454529"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A study conducted in Canada by Barrette and Carrière (2005) among high-tech SMEs reveals varied HRM practices, ranging from methods that are not very standardized in small companies to highly structured approaches in companies with more than 250 employees. Five key areas were </w:t>
      </w:r>
      <w:proofErr w:type="gramStart"/>
      <w:r w:rsidRPr="00A7363F">
        <w:rPr>
          <w:rFonts w:asciiTheme="majorBidi" w:hAnsiTheme="majorBidi" w:cstheme="majorBidi"/>
          <w:sz w:val="24"/>
          <w:szCs w:val="24"/>
        </w:rPr>
        <w:t>analyzed:</w:t>
      </w:r>
      <w:proofErr w:type="gramEnd"/>
      <w:r w:rsidRPr="00A7363F">
        <w:rPr>
          <w:rFonts w:asciiTheme="majorBidi" w:hAnsiTheme="majorBidi" w:cstheme="majorBidi"/>
          <w:sz w:val="24"/>
          <w:szCs w:val="24"/>
        </w:rPr>
        <w:t xml:space="preserve"> recruitment, compensation, training and development, performance evaluation and career planning. The results show that strategic human resources planning is mainly present in large companies, while small companies favor internal promotion and more informal management. External relations, strategic policy implementation and social responsibility increase with company size, suggesting that large SMEs have </w:t>
      </w:r>
      <w:proofErr w:type="gramStart"/>
      <w:r w:rsidRPr="00A7363F">
        <w:rPr>
          <w:rFonts w:asciiTheme="majorBidi" w:hAnsiTheme="majorBidi" w:cstheme="majorBidi"/>
          <w:sz w:val="24"/>
          <w:szCs w:val="24"/>
        </w:rPr>
        <w:t>a</w:t>
      </w:r>
      <w:proofErr w:type="gramEnd"/>
      <w:r w:rsidRPr="00A7363F">
        <w:rPr>
          <w:rFonts w:asciiTheme="majorBidi" w:hAnsiTheme="majorBidi" w:cstheme="majorBidi"/>
          <w:sz w:val="24"/>
          <w:szCs w:val="24"/>
        </w:rPr>
        <w:t xml:space="preserve"> more structured and proactive approach to skills management.</w:t>
      </w:r>
    </w:p>
    <w:p w14:paraId="7140ADB1"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lastRenderedPageBreak/>
        <w:t>Despite these differences, the SMEs studied use a wide range of tools and methods to manage their human resources. They use selection tests for recruitment, incentive-based compensation systems, regular performance evaluations and strong internal communication. They also pay particular attention to the quality of life at work, which demonstrates a desire to create an environment conducive to employee development. These practices show that, even in SMEs, there is real human resources and skills management, although it is often less formalized than in large companies.</w:t>
      </w:r>
    </w:p>
    <w:p w14:paraId="70772464" w14:textId="59546220"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Another study, conducted by Kushida (2015) in Silicon Valley, highlights the specificities of this unique ecosystem. Silicon Valley is characterized by a young, multicultural and highly qualified population, a very high rate of business creation, a pleasant living environment and attractive remuneration. Companies in this region are based on specific cultural and organizational foundations, such as the myth of the entrepreneur, delegation based on individual skills, a culture of intangibles and intensive use of new technologies. These companies favor flexible organizational methods, focused on change and innovation, and constantly seek to improve their performance.</w:t>
      </w:r>
    </w:p>
    <w:p w14:paraId="5A45E3FB"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In this context, skills management takes a particular form. Silicon Valley companies do not bother with traditional skills assessments, which are considered too rigid and quickly obsolete (Steiber et al., 2016). Instead, they implement tools and methods to optimize existing resources and promote the development of future skills. Self-training via digital platforms, for example, is widely used to allow employees to train quickly and independently. However, one may wonder whether these practices are specific to high technology or whether they reflect the unique environment of Silicon Valley. </w:t>
      </w:r>
    </w:p>
    <w:p w14:paraId="610DD0B9" w14:textId="1528D37B"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Finally, a study conducted by Nyamrunda and Freeman (2021) highlights a </w:t>
      </w:r>
      <w:proofErr w:type="gramStart"/>
      <w:r w:rsidRPr="00A7363F">
        <w:rPr>
          <w:rFonts w:asciiTheme="majorBidi" w:hAnsiTheme="majorBidi" w:cstheme="majorBidi"/>
          <w:sz w:val="24"/>
          <w:szCs w:val="24"/>
        </w:rPr>
        <w:t>paradox:</w:t>
      </w:r>
      <w:proofErr w:type="gramEnd"/>
      <w:r w:rsidRPr="00A7363F">
        <w:rPr>
          <w:rFonts w:asciiTheme="majorBidi" w:hAnsiTheme="majorBidi" w:cstheme="majorBidi"/>
          <w:sz w:val="24"/>
          <w:szCs w:val="24"/>
        </w:rPr>
        <w:t xml:space="preserve"> although SMEs are often described as places of agility, responsiveness and flexibility, little empirical research has been devoted to their skills management. In most SMEs, skills management seems to be limited to workforce management, without a real formalized strategy. However, these companies are developing actions to identify, develop and enhance the skills of their employees. A study by Mýtna Kureková et al. (2016) identified two key </w:t>
      </w:r>
      <w:proofErr w:type="gramStart"/>
      <w:r w:rsidRPr="00A7363F">
        <w:rPr>
          <w:rFonts w:asciiTheme="majorBidi" w:hAnsiTheme="majorBidi" w:cstheme="majorBidi"/>
          <w:sz w:val="24"/>
          <w:szCs w:val="24"/>
        </w:rPr>
        <w:t>dimensions:</w:t>
      </w:r>
      <w:proofErr w:type="gramEnd"/>
      <w:r w:rsidRPr="00A7363F">
        <w:rPr>
          <w:rFonts w:asciiTheme="majorBidi" w:hAnsiTheme="majorBidi" w:cstheme="majorBidi"/>
          <w:sz w:val="24"/>
          <w:szCs w:val="24"/>
        </w:rPr>
        <w:t xml:space="preserve"> the degree of formalization of practices and the type of strategies, reactive or proactive. These dimensions provide a useful analytical framework for understanding how SMEs manage their skills in various contexts.</w:t>
      </w:r>
    </w:p>
    <w:p w14:paraId="15578E42" w14:textId="6A0D23F1" w:rsidR="007055F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In conclusion, knowledge and skills management practices vary considerably depending on the size, sector and context of companies. Large companies and technology SMEs tend to adopt </w:t>
      </w:r>
      <w:r w:rsidRPr="00A7363F">
        <w:rPr>
          <w:rFonts w:asciiTheme="majorBidi" w:hAnsiTheme="majorBidi" w:cstheme="majorBidi"/>
          <w:sz w:val="24"/>
          <w:szCs w:val="24"/>
        </w:rPr>
        <w:lastRenderedPageBreak/>
        <w:t xml:space="preserve">structured and innovative approaches, while other SMEs favour more informal and reactive methods. However, all these companies share a common </w:t>
      </w:r>
      <w:proofErr w:type="gramStart"/>
      <w:r w:rsidRPr="00A7363F">
        <w:rPr>
          <w:rFonts w:asciiTheme="majorBidi" w:hAnsiTheme="majorBidi" w:cstheme="majorBidi"/>
          <w:sz w:val="24"/>
          <w:szCs w:val="24"/>
        </w:rPr>
        <w:t>goal:</w:t>
      </w:r>
      <w:proofErr w:type="gramEnd"/>
      <w:r w:rsidRPr="00A7363F">
        <w:rPr>
          <w:rFonts w:asciiTheme="majorBidi" w:hAnsiTheme="majorBidi" w:cstheme="majorBidi"/>
          <w:sz w:val="24"/>
          <w:szCs w:val="24"/>
        </w:rPr>
        <w:t xml:space="preserve"> to create an environment conducive to learning, innovation and performance. To achieve this, they must find a balance between formalization and flexibility, between individual and collective skills management, and between capitalizing on knowledge and adapting to change. It is on this condition that they will be able to take full advantage of their human capital and face the challenges of a constantly changing world.</w:t>
      </w:r>
    </w:p>
    <w:p w14:paraId="49157EBC" w14:textId="77777777" w:rsidR="00A7363F" w:rsidRPr="00A7363F" w:rsidRDefault="00A7363F" w:rsidP="00A7363F">
      <w:pPr>
        <w:spacing w:after="120" w:line="360" w:lineRule="auto"/>
        <w:jc w:val="both"/>
        <w:rPr>
          <w:rFonts w:asciiTheme="majorBidi" w:hAnsiTheme="majorBidi" w:cstheme="majorBidi"/>
          <w:b/>
          <w:bCs/>
          <w:sz w:val="24"/>
          <w:szCs w:val="24"/>
        </w:rPr>
      </w:pPr>
      <w:r w:rsidRPr="00A7363F">
        <w:rPr>
          <w:rFonts w:asciiTheme="majorBidi" w:hAnsiTheme="majorBidi" w:cstheme="majorBidi"/>
          <w:b/>
          <w:bCs/>
          <w:sz w:val="24"/>
          <w:szCs w:val="24"/>
        </w:rPr>
        <w:t>2. Research methodology</w:t>
      </w:r>
    </w:p>
    <w:p w14:paraId="58ABC757" w14:textId="77777777" w:rsidR="00A7363F" w:rsidRP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Our data collection approach was based on two distinct types of interventions within companies. First, we conducted in-depth interviews in twelve SMEs located in the Sfax region. These interviews, lasting an average of two hours, were conducted with managers as well as operational executives (production, design or sales managers). For half of these companies, we were able to speak with two </w:t>
      </w:r>
      <w:proofErr w:type="gramStart"/>
      <w:r w:rsidRPr="00A7363F">
        <w:rPr>
          <w:rFonts w:asciiTheme="majorBidi" w:hAnsiTheme="majorBidi" w:cstheme="majorBidi"/>
          <w:sz w:val="24"/>
          <w:szCs w:val="24"/>
        </w:rPr>
        <w:t>interlocutors:</w:t>
      </w:r>
      <w:proofErr w:type="gramEnd"/>
      <w:r w:rsidRPr="00A7363F">
        <w:rPr>
          <w:rFonts w:asciiTheme="majorBidi" w:hAnsiTheme="majorBidi" w:cstheme="majorBidi"/>
          <w:sz w:val="24"/>
          <w:szCs w:val="24"/>
        </w:rPr>
        <w:t xml:space="preserve"> the manager and an executive, which allowed us to obtain a more complete vision of the practices and issues. These interviews, although very open, were structured around an interview guide, ensuring consistency in the information collected from one company to another. Secondly, we were asked to provide methodological support to a biotechnology SME as part of the implementation of a diversification strategy. This intervention led us to an in-depth five-day analysis, during which we worked closely with the CEO and the production manager, the latter also being a member of the board of directors. This immersion allowed us to gain an in-depth understanding of the internal dynamics of this company.</w:t>
      </w:r>
    </w:p>
    <w:p w14:paraId="5F9B9F7E" w14:textId="510B34AA" w:rsidR="007055F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The companies studied all belong to the category of small or very small companies, with workforces varying between 5 and 65 employees. Although independent and operating in various sectors of activity, they share several common characteristics that justified their selection in our sample. First of all, their business is based on a complex and constantly evolving technological dimension, which places them in </w:t>
      </w:r>
      <w:proofErr w:type="gramStart"/>
      <w:r w:rsidRPr="00A7363F">
        <w:rPr>
          <w:rFonts w:asciiTheme="majorBidi" w:hAnsiTheme="majorBidi" w:cstheme="majorBidi"/>
          <w:sz w:val="24"/>
          <w:szCs w:val="24"/>
        </w:rPr>
        <w:t>a</w:t>
      </w:r>
      <w:proofErr w:type="gramEnd"/>
      <w:r w:rsidRPr="00A7363F">
        <w:rPr>
          <w:rFonts w:asciiTheme="majorBidi" w:hAnsiTheme="majorBidi" w:cstheme="majorBidi"/>
          <w:sz w:val="24"/>
          <w:szCs w:val="24"/>
        </w:rPr>
        <w:t xml:space="preserve"> situation where innovation is a constant necessity. Secondly, their teams demonstrate a remarkable capacity for innovation, resulting in the development of new technologies or the recomposition of existing technologies. Finally, these companies do not produce standardized goods, but design tailor-made technological systems, meeting specific specifications for unique customers. These systems, often complex, are produced in small series, ranging from one unit to a few hundred.</w:t>
      </w:r>
    </w:p>
    <w:p w14:paraId="45282A8A"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These characteristics make these companies typical examples of what we have called “technology development companies” (Egorova et al., 2022). Their particularity lies in the fact </w:t>
      </w:r>
      <w:r w:rsidRPr="00A7363F">
        <w:rPr>
          <w:rFonts w:asciiTheme="majorBidi" w:hAnsiTheme="majorBidi" w:cstheme="majorBidi"/>
          <w:sz w:val="24"/>
          <w:szCs w:val="24"/>
        </w:rPr>
        <w:lastRenderedPageBreak/>
        <w:t xml:space="preserve">that they face specific challenges in terms of knowledge and skills management. Indeed, unlike mass-produced companies, where the experience effect plays a key role in continuous improvement, these SMEs must face an almost total lack of reproducibility from one project to another. Each new contract involves the design of an innovative system, often breaking with previous technologies, which makes it difficult to capitalize on the knowledge and skills acquired. </w:t>
      </w:r>
    </w:p>
    <w:p w14:paraId="3C0BCF13" w14:textId="77777777"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 xml:space="preserve">In this context, skills and knowledge are not built in a linear manner, but rather in an iterative manner, with advances and backward steps (Miller et al., 2011). Each project represents a new adventure, where teams must partly reinvent their methods and know-how. This dynamic creates a spiral learning process, where knowledge is constantly questioned and readjusted. Although this approach may seem disadvantageous in terms of capitalization, it also offers a tremendous opportunity for knowledge aggregation, provided that the company manages to set up mechanisms for sharing and memorizing past experiences. </w:t>
      </w:r>
    </w:p>
    <w:p w14:paraId="0DB8AC02" w14:textId="30F4D7E9" w:rsidR="00A7363F" w:rsidRDefault="00A7363F" w:rsidP="00A7363F">
      <w:pPr>
        <w:spacing w:after="120" w:line="360" w:lineRule="auto"/>
        <w:jc w:val="both"/>
        <w:rPr>
          <w:rFonts w:asciiTheme="majorBidi" w:hAnsiTheme="majorBidi" w:cstheme="majorBidi"/>
          <w:sz w:val="24"/>
          <w:szCs w:val="24"/>
        </w:rPr>
      </w:pPr>
      <w:r w:rsidRPr="00A7363F">
        <w:rPr>
          <w:rFonts w:asciiTheme="majorBidi" w:hAnsiTheme="majorBidi" w:cstheme="majorBidi"/>
          <w:sz w:val="24"/>
          <w:szCs w:val="24"/>
        </w:rPr>
        <w:t>However, this capitalization remains a major challenge for these SMEs. Indeed, the very nature of their projects, often unique and innovative, makes it difficult to formalize and transmit knowledge. Skills, for their part, are constantly called upon and remodeled, which requires great flexibility and adaptability on the part of teams. This situation highlights the importance of knowledge and skills management adapted to these specific contexts, where innovation and responsiveness are strategic imperatives. For these companies, the key to success lies in their ability to transform each project into a collective learning opportunity, while preserving an organizational memory that allows them to take advantage of past experiences to innovate even more.</w:t>
      </w:r>
    </w:p>
    <w:p w14:paraId="4F16198F" w14:textId="77777777" w:rsidR="00A7363F" w:rsidRDefault="00A7363F" w:rsidP="00A7363F">
      <w:pPr>
        <w:spacing w:after="120" w:line="360" w:lineRule="auto"/>
        <w:jc w:val="both"/>
        <w:rPr>
          <w:rFonts w:asciiTheme="majorBidi" w:hAnsiTheme="majorBidi" w:cstheme="majorBidi"/>
          <w:sz w:val="24"/>
          <w:szCs w:val="24"/>
        </w:rPr>
      </w:pPr>
    </w:p>
    <w:p w14:paraId="49DF84BD" w14:textId="77777777" w:rsidR="008514A8" w:rsidRPr="008514A8" w:rsidRDefault="008514A8" w:rsidP="008514A8">
      <w:pPr>
        <w:spacing w:after="120" w:line="360" w:lineRule="auto"/>
        <w:rPr>
          <w:rFonts w:asciiTheme="majorBidi" w:hAnsiTheme="majorBidi" w:cstheme="majorBidi"/>
          <w:b/>
          <w:bCs/>
          <w:sz w:val="24"/>
          <w:szCs w:val="24"/>
        </w:rPr>
      </w:pPr>
      <w:r w:rsidRPr="008514A8">
        <w:rPr>
          <w:rFonts w:asciiTheme="majorBidi" w:hAnsiTheme="majorBidi" w:cstheme="majorBidi"/>
          <w:b/>
          <w:bCs/>
          <w:sz w:val="24"/>
          <w:szCs w:val="24"/>
        </w:rPr>
        <w:t>3. Results and discussion</w:t>
      </w:r>
    </w:p>
    <w:p w14:paraId="1EF43482"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the small businesses we studied, the often-heard discourse on the “knowledge society” and “knowledge workers” does not resonate in the same way (Jemielniak, 2012). However, the managers we met expressed a keen awareness of the crucial importance of knowledge in the creation and development of their business (Omotayo, 2015). As one of them pointed </w:t>
      </w:r>
      <w:proofErr w:type="gramStart"/>
      <w:r w:rsidRPr="008514A8">
        <w:rPr>
          <w:rFonts w:asciiTheme="majorBidi" w:hAnsiTheme="majorBidi" w:cstheme="majorBidi"/>
          <w:sz w:val="24"/>
          <w:szCs w:val="24"/>
        </w:rPr>
        <w:t>out:</w:t>
      </w:r>
      <w:proofErr w:type="gramEnd"/>
    </w:p>
    <w:p w14:paraId="198F1DA5" w14:textId="77777777"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“Without our knowledge and expertise, we simply would not exist. It’s what got us started, and it’s what drives us forward today.”</w:t>
      </w:r>
    </w:p>
    <w:p w14:paraId="2271022F"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often in-depth reflection shows that knowledge and skills management is at the heart of their concerns, even if it does not always take a structured or formalized form (Lau et al., 2019).</w:t>
      </w:r>
    </w:p>
    <w:p w14:paraId="646D843D"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lastRenderedPageBreak/>
        <w:t xml:space="preserve">In these businesses, knowledge is manifested through the articulation between theoretical knowledge and practical skills. It is the foundation on which these companies were built (Willbergh, 2015). For example, several executives explained that their companies were founded on the technical knowledge and expertise of their </w:t>
      </w:r>
      <w:proofErr w:type="gramStart"/>
      <w:r w:rsidRPr="008514A8">
        <w:rPr>
          <w:rFonts w:asciiTheme="majorBidi" w:hAnsiTheme="majorBidi" w:cstheme="majorBidi"/>
          <w:sz w:val="24"/>
          <w:szCs w:val="24"/>
        </w:rPr>
        <w:t>founders:</w:t>
      </w:r>
      <w:proofErr w:type="gramEnd"/>
    </w:p>
    <w:p w14:paraId="5876F6B8"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“When we started, it was all about what we knew how to do, our ideas and our ability to make them happen,”</w:t>
      </w:r>
      <w:r w:rsidRPr="008514A8">
        <w:rPr>
          <w:rFonts w:asciiTheme="majorBidi" w:hAnsiTheme="majorBidi" w:cstheme="majorBidi"/>
          <w:sz w:val="24"/>
          <w:szCs w:val="24"/>
        </w:rPr>
        <w:t xml:space="preserve"> one said.</w:t>
      </w:r>
    </w:p>
    <w:p w14:paraId="4357B260" w14:textId="0DE583C4"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Over the years, this knowledge base has been enriched, capitalized on and protected, allowing these companies to grow and maintain their position in competitive markets (Vu &amp; Nguyen, </w:t>
      </w:r>
      <w:proofErr w:type="gramStart"/>
      <w:r w:rsidRPr="008514A8">
        <w:rPr>
          <w:rFonts w:asciiTheme="majorBidi" w:hAnsiTheme="majorBidi" w:cstheme="majorBidi"/>
          <w:sz w:val="24"/>
          <w:szCs w:val="24"/>
        </w:rPr>
        <w:t>2022;</w:t>
      </w:r>
      <w:proofErr w:type="gramEnd"/>
      <w:r w:rsidRPr="008514A8">
        <w:rPr>
          <w:rFonts w:asciiTheme="majorBidi" w:hAnsiTheme="majorBidi" w:cstheme="majorBidi"/>
          <w:sz w:val="24"/>
          <w:szCs w:val="24"/>
        </w:rPr>
        <w:t xml:space="preserve"> Teece, 2015; Zanzouri &amp; Francois, 2013). Four of the companies studied have been in existence for more than 15 years, and their longevity is largely explained by their ability to preserve and evolve their knowledge.</w:t>
      </w:r>
      <w:r>
        <w:rPr>
          <w:rFonts w:asciiTheme="majorBidi" w:hAnsiTheme="majorBidi" w:cstheme="majorBidi"/>
          <w:sz w:val="24"/>
          <w:szCs w:val="24"/>
        </w:rPr>
        <w:t xml:space="preserve"> </w:t>
      </w:r>
      <w:r w:rsidRPr="008514A8">
        <w:rPr>
          <w:rFonts w:asciiTheme="majorBidi" w:hAnsiTheme="majorBidi" w:cstheme="majorBidi"/>
          <w:sz w:val="24"/>
          <w:szCs w:val="24"/>
        </w:rPr>
        <w:t xml:space="preserve">This knowledge is not only an internal </w:t>
      </w:r>
      <w:proofErr w:type="gramStart"/>
      <w:r w:rsidRPr="008514A8">
        <w:rPr>
          <w:rFonts w:asciiTheme="majorBidi" w:hAnsiTheme="majorBidi" w:cstheme="majorBidi"/>
          <w:sz w:val="24"/>
          <w:szCs w:val="24"/>
        </w:rPr>
        <w:t>asset;</w:t>
      </w:r>
      <w:proofErr w:type="gramEnd"/>
      <w:r w:rsidRPr="008514A8">
        <w:rPr>
          <w:rFonts w:asciiTheme="majorBidi" w:hAnsiTheme="majorBidi" w:cstheme="majorBidi"/>
          <w:sz w:val="24"/>
          <w:szCs w:val="24"/>
        </w:rPr>
        <w:t xml:space="preserve"> They are also a tool for differentiating ourselves from the competition:</w:t>
      </w:r>
    </w:p>
    <w:p w14:paraId="1662E0F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“What sets us apart is our ability to understand our customers’ specific needs and respond to them with tailor-made solutions,”</w:t>
      </w:r>
      <w:r w:rsidRPr="008514A8">
        <w:rPr>
          <w:rFonts w:asciiTheme="majorBidi" w:hAnsiTheme="majorBidi" w:cstheme="majorBidi"/>
          <w:sz w:val="24"/>
          <w:szCs w:val="24"/>
        </w:rPr>
        <w:t xml:space="preserve"> explained one executive.</w:t>
      </w:r>
    </w:p>
    <w:p w14:paraId="6A5C761C"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ability is based on a combination of technical knowledge and practical skills, where know-how emerges from know-what (Schutte et al., 2016). In other words, competence is seen as the implementation of knowledge, a transformation of theoretical knowledge into concrete solutions. However, executives sometimes distinguish what they call “interactive skills” or “social knowledge,” which are more related to relationship management, whether with customers or within project teams (Meredith et al., 2017).</w:t>
      </w:r>
    </w:p>
    <w:p w14:paraId="510BDE1D" w14:textId="77777777"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These companies, although they often started in narrow technological niches, are now showing high growth rates. This growth was made possible by an increase in their critical size, allowing them to position themselves on more complex and larger projects (Egorova et al., 2022</w:t>
      </w:r>
      <w:proofErr w:type="gramStart"/>
      <w:r w:rsidRPr="008514A8">
        <w:rPr>
          <w:rFonts w:asciiTheme="majorBidi" w:hAnsiTheme="majorBidi" w:cstheme="majorBidi"/>
          <w:sz w:val="24"/>
          <w:szCs w:val="24"/>
        </w:rPr>
        <w:t>):</w:t>
      </w:r>
      <w:proofErr w:type="gramEnd"/>
      <w:r w:rsidRPr="008514A8">
        <w:rPr>
          <w:rFonts w:asciiTheme="majorBidi" w:hAnsiTheme="majorBidi" w:cstheme="majorBidi"/>
          <w:sz w:val="24"/>
          <w:szCs w:val="24"/>
        </w:rPr>
        <w:t xml:space="preserve"> </w:t>
      </w:r>
    </w:p>
    <w:p w14:paraId="595293EE" w14:textId="38FCB080"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“We had to grow quickly to remain competitive and be able to respond to more ambitious demands,” </w:t>
      </w:r>
      <w:r w:rsidRPr="008514A8">
        <w:rPr>
          <w:rFonts w:asciiTheme="majorBidi" w:hAnsiTheme="majorBidi" w:cstheme="majorBidi"/>
          <w:sz w:val="24"/>
          <w:szCs w:val="24"/>
        </w:rPr>
        <w:t>explained one manager.</w:t>
      </w:r>
    </w:p>
    <w:p w14:paraId="4AFD3CAF"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growth is accompanied by constant intellectual and human investment, which becomes the main driver of innovation and development (Button et al., 2021</w:t>
      </w:r>
      <w:proofErr w:type="gramStart"/>
      <w:r w:rsidRPr="008514A8">
        <w:rPr>
          <w:rFonts w:asciiTheme="majorBidi" w:hAnsiTheme="majorBidi" w:cstheme="majorBidi"/>
          <w:sz w:val="24"/>
          <w:szCs w:val="24"/>
        </w:rPr>
        <w:t>):</w:t>
      </w:r>
      <w:proofErr w:type="gramEnd"/>
    </w:p>
    <w:p w14:paraId="700DF1D8" w14:textId="77777777"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“Each new project pushes us to push our limits, to learn and to adapt,” added another.</w:t>
      </w:r>
    </w:p>
    <w:p w14:paraId="6203D75D"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However, this growth is not based solely on an increase in staff or physical resources. A significant part is supported by an improvement in intellectual productivity, thanks to the capitalization of knowledge (Koopmans et al., 2019</w:t>
      </w:r>
      <w:proofErr w:type="gramStart"/>
      <w:r w:rsidRPr="008514A8">
        <w:rPr>
          <w:rFonts w:asciiTheme="majorBidi" w:hAnsiTheme="majorBidi" w:cstheme="majorBidi"/>
          <w:sz w:val="24"/>
          <w:szCs w:val="24"/>
        </w:rPr>
        <w:t>):</w:t>
      </w:r>
      <w:proofErr w:type="gramEnd"/>
    </w:p>
    <w:p w14:paraId="4869FA34"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lastRenderedPageBreak/>
        <w:t>“We can’t just hire more people. We also have to make each member of the team more efficient, more competent,”</w:t>
      </w:r>
      <w:r w:rsidRPr="008514A8">
        <w:rPr>
          <w:rFonts w:asciiTheme="majorBidi" w:hAnsiTheme="majorBidi" w:cstheme="majorBidi"/>
          <w:sz w:val="24"/>
          <w:szCs w:val="24"/>
        </w:rPr>
        <w:t xml:space="preserve"> stressed one manager.</w:t>
      </w:r>
    </w:p>
    <w:p w14:paraId="24B07A8E"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capitalization of knowledge is done both over time, by retaining the knowledge acquired over the course of projects, and in the workspace, by promoting sharing and collaboration between teams.</w:t>
      </w:r>
    </w:p>
    <w:p w14:paraId="215A4F0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Despite this awareness, managers often admit to lacking concrete solutions for effectively managing this </w:t>
      </w:r>
      <w:proofErr w:type="gramStart"/>
      <w:r w:rsidRPr="008514A8">
        <w:rPr>
          <w:rFonts w:asciiTheme="majorBidi" w:hAnsiTheme="majorBidi" w:cstheme="majorBidi"/>
          <w:sz w:val="24"/>
          <w:szCs w:val="24"/>
        </w:rPr>
        <w:t>knowledge:</w:t>
      </w:r>
      <w:proofErr w:type="gramEnd"/>
    </w:p>
    <w:p w14:paraId="2095ED20"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“We know it’s important, but we don’t always know how to capitalize on what we learn,”</w:t>
      </w:r>
      <w:r w:rsidRPr="008514A8">
        <w:rPr>
          <w:rFonts w:asciiTheme="majorBidi" w:hAnsiTheme="majorBidi" w:cstheme="majorBidi"/>
          <w:sz w:val="24"/>
          <w:szCs w:val="24"/>
        </w:rPr>
        <w:t xml:space="preserve"> one of them acknowledged.</w:t>
      </w:r>
    </w:p>
    <w:p w14:paraId="32B69F98"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This difficulty is all the greater because each project represents a unique challenge, with little reproducibility from one case to </w:t>
      </w:r>
      <w:proofErr w:type="gramStart"/>
      <w:r w:rsidRPr="008514A8">
        <w:rPr>
          <w:rFonts w:asciiTheme="majorBidi" w:hAnsiTheme="majorBidi" w:cstheme="majorBidi"/>
          <w:sz w:val="24"/>
          <w:szCs w:val="24"/>
        </w:rPr>
        <w:t>another:</w:t>
      </w:r>
      <w:proofErr w:type="gramEnd"/>
    </w:p>
    <w:p w14:paraId="23156230"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“Each client has specific needs, and each solution we propose is in some way a first,” </w:t>
      </w:r>
      <w:r w:rsidRPr="008514A8">
        <w:rPr>
          <w:rFonts w:asciiTheme="majorBidi" w:hAnsiTheme="majorBidi" w:cstheme="majorBidi"/>
          <w:sz w:val="24"/>
          <w:szCs w:val="24"/>
        </w:rPr>
        <w:t>explained another manager.</w:t>
      </w:r>
    </w:p>
    <w:p w14:paraId="0664885C"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lack of linearity in learning makes capitalizing on knowledge and skills particularly complex, but also essential.</w:t>
      </w:r>
    </w:p>
    <w:p w14:paraId="59CFD862"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short, the small businesses studied demonstrate a fine understanding of the importance of knowledge and skills in their development (Mention, 2012). Although their approach is often informal, they have implemented more or less formalized practices to manage these intangible resources. Their current challenge is to find more effective ways to capitalize on their knowledge while continuing to innovate and adapt to the changing needs of their customers (Maket &amp; Korir, 2017). As one executive </w:t>
      </w:r>
      <w:proofErr w:type="gramStart"/>
      <w:r w:rsidRPr="008514A8">
        <w:rPr>
          <w:rFonts w:asciiTheme="majorBidi" w:hAnsiTheme="majorBidi" w:cstheme="majorBidi"/>
          <w:sz w:val="24"/>
          <w:szCs w:val="24"/>
        </w:rPr>
        <w:t>summarized:</w:t>
      </w:r>
      <w:proofErr w:type="gramEnd"/>
    </w:p>
    <w:p w14:paraId="7530F4B1" w14:textId="15AD12D4"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“Our knowledge is our wealth, but we must learn to manage it better to get the most out of it.”</w:t>
      </w:r>
    </w:p>
    <w:p w14:paraId="5132C6F6"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the companies we studied, knowledge and skills management is based on a structured and regular process. At least once a year, an in-depth diagnosis is carried out to assess the available knowledge and skills, identify current gaps and anticipate future needs. This approach, essential to maintaining their competitiveness, is carried out differently depending on the companies. Eight of them use consulting firms, systematically for one and occasionally for the other two. The other four companies carry out this diagnosis internally, during meetings between managers, engineers and technicians. As one manager </w:t>
      </w:r>
      <w:proofErr w:type="gramStart"/>
      <w:r w:rsidRPr="008514A8">
        <w:rPr>
          <w:rFonts w:asciiTheme="majorBidi" w:hAnsiTheme="majorBidi" w:cstheme="majorBidi"/>
          <w:sz w:val="24"/>
          <w:szCs w:val="24"/>
        </w:rPr>
        <w:t>explained:</w:t>
      </w:r>
      <w:proofErr w:type="gramEnd"/>
    </w:p>
    <w:p w14:paraId="2407A2F6" w14:textId="77777777"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“These meetings allow us to take stock of what we know how to do and what we need to learn to stay ahead of our market.”</w:t>
      </w:r>
    </w:p>
    <w:p w14:paraId="540377CE"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lastRenderedPageBreak/>
        <w:t xml:space="preserve">This diagnosis is closely linked to business intelligence and technology monitoring, two activities that are particularly developed in these companies (Holbeche, 2022). Nine of the twelve companies studied have formalized their monitoring process, with sheets filled out by the CEO, technical and sales managers, as well as “sensors” distributed throughout the organization (Rice, 2015). This information is then centralized in an information system accessible to all </w:t>
      </w:r>
      <w:proofErr w:type="gramStart"/>
      <w:r w:rsidRPr="008514A8">
        <w:rPr>
          <w:rFonts w:asciiTheme="majorBidi" w:hAnsiTheme="majorBidi" w:cstheme="majorBidi"/>
          <w:sz w:val="24"/>
          <w:szCs w:val="24"/>
        </w:rPr>
        <w:t>employees:</w:t>
      </w:r>
      <w:proofErr w:type="gramEnd"/>
    </w:p>
    <w:p w14:paraId="2417FBC5"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“Technological monitoring is vital for us. It allows us to stay up to date and know what is being done elsewhere,” </w:t>
      </w:r>
      <w:r w:rsidRPr="008514A8">
        <w:rPr>
          <w:rFonts w:asciiTheme="majorBidi" w:hAnsiTheme="majorBidi" w:cstheme="majorBidi"/>
          <w:sz w:val="24"/>
          <w:szCs w:val="24"/>
        </w:rPr>
        <w:t>emphasized a technical director.</w:t>
      </w:r>
    </w:p>
    <w:p w14:paraId="4722778D"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knowledge base, constantly updated, is a key tool for anticipating market and technological developments.</w:t>
      </w:r>
    </w:p>
    <w:p w14:paraId="105144E7"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The close relationship that these companies maintain with their customers also plays a central role in their learning process (Osmundsen, 2020). Working mainly to order, they are in constant contact with the needs and expectations of their customers. For each project, at least one employee is often seconded to the customer, sometimes for several months, in order to better understand their </w:t>
      </w:r>
      <w:proofErr w:type="gramStart"/>
      <w:r w:rsidRPr="008514A8">
        <w:rPr>
          <w:rFonts w:asciiTheme="majorBidi" w:hAnsiTheme="majorBidi" w:cstheme="majorBidi"/>
          <w:sz w:val="24"/>
          <w:szCs w:val="24"/>
        </w:rPr>
        <w:t>specificities:</w:t>
      </w:r>
      <w:proofErr w:type="gramEnd"/>
    </w:p>
    <w:p w14:paraId="0A386583" w14:textId="18CCFBE1"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“It is by working directly with our customers that we learn the most. This allows us to see what works and what needs to be improved,”</w:t>
      </w:r>
      <w:r w:rsidRPr="008514A8">
        <w:rPr>
          <w:rFonts w:asciiTheme="majorBidi" w:hAnsiTheme="majorBidi" w:cstheme="majorBidi"/>
          <w:sz w:val="24"/>
          <w:szCs w:val="24"/>
        </w:rPr>
        <w:t xml:space="preserve"> explained one engineer.</w:t>
      </w:r>
    </w:p>
    <w:p w14:paraId="4D8728CE"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immersion not only helps meet immediate needs, but also anticipate the skills and knowledge that will be needed in the future.</w:t>
      </w:r>
    </w:p>
    <w:p w14:paraId="553555A7"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These companies, often created by experts in their sector, benefit from in-depth knowledge of their market. This initial expertise allows them to navigate with agility in a constantly changing technological environment (Abubakar et al., 2019). However, they do not limit themselves to technical skills. Soft skills, such as the ability to integrate into a team and collaborate effectively, are just as </w:t>
      </w:r>
      <w:proofErr w:type="gramStart"/>
      <w:r w:rsidRPr="008514A8">
        <w:rPr>
          <w:rFonts w:asciiTheme="majorBidi" w:hAnsiTheme="majorBidi" w:cstheme="majorBidi"/>
          <w:sz w:val="24"/>
          <w:szCs w:val="24"/>
        </w:rPr>
        <w:t>crucial:</w:t>
      </w:r>
      <w:proofErr w:type="gramEnd"/>
    </w:p>
    <w:p w14:paraId="7A23DA4E"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“When we recruit, we look for people who are not only masters of their field, but who can also adapt to our culture and work in </w:t>
      </w:r>
      <w:proofErr w:type="gramStart"/>
      <w:r w:rsidRPr="008514A8">
        <w:rPr>
          <w:rFonts w:asciiTheme="majorBidi" w:hAnsiTheme="majorBidi" w:cstheme="majorBidi"/>
          <w:i/>
          <w:iCs/>
          <w:sz w:val="24"/>
          <w:szCs w:val="24"/>
        </w:rPr>
        <w:t>a</w:t>
      </w:r>
      <w:proofErr w:type="gramEnd"/>
      <w:r w:rsidRPr="008514A8">
        <w:rPr>
          <w:rFonts w:asciiTheme="majorBidi" w:hAnsiTheme="majorBidi" w:cstheme="majorBidi"/>
          <w:i/>
          <w:iCs/>
          <w:sz w:val="24"/>
          <w:szCs w:val="24"/>
        </w:rPr>
        <w:t xml:space="preserve"> team,”</w:t>
      </w:r>
      <w:r w:rsidRPr="008514A8">
        <w:rPr>
          <w:rFonts w:asciiTheme="majorBidi" w:hAnsiTheme="majorBidi" w:cstheme="majorBidi"/>
          <w:sz w:val="24"/>
          <w:szCs w:val="24"/>
        </w:rPr>
        <w:t xml:space="preserve"> said one executive.</w:t>
      </w:r>
    </w:p>
    <w:p w14:paraId="4C7ADF17"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To assess these skills, some companies subject new hires to test projects, real or fictitious, in order to verify their ability to integrate and contribute to the innovation dynamic.</w:t>
      </w:r>
    </w:p>
    <w:p w14:paraId="20CD5FD5"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Thanks to this constant vigilance with regard to their environment, these companies manage to anticipate technological developments and adapt their offer </w:t>
      </w:r>
      <w:proofErr w:type="gramStart"/>
      <w:r w:rsidRPr="008514A8">
        <w:rPr>
          <w:rFonts w:asciiTheme="majorBidi" w:hAnsiTheme="majorBidi" w:cstheme="majorBidi"/>
          <w:sz w:val="24"/>
          <w:szCs w:val="24"/>
        </w:rPr>
        <w:t>accordingly:</w:t>
      </w:r>
      <w:proofErr w:type="gramEnd"/>
    </w:p>
    <w:p w14:paraId="01E22621"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lastRenderedPageBreak/>
        <w:t>“We cannot afford to react at the last minute. We must always be one step ahead,”</w:t>
      </w:r>
      <w:r w:rsidRPr="008514A8">
        <w:rPr>
          <w:rFonts w:asciiTheme="majorBidi" w:hAnsiTheme="majorBidi" w:cstheme="majorBidi"/>
          <w:sz w:val="24"/>
          <w:szCs w:val="24"/>
        </w:rPr>
        <w:t xml:space="preserve"> explained a general manager.</w:t>
      </w:r>
    </w:p>
    <w:p w14:paraId="5BDD78DC"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To fill the gaps between current skills and those needed in the future, they implement various strategies (Brown &amp; Palincsar, 2018). These include skills transfers with customers and suppliers, collaborations with university laboratories, or the recruitment of young engineers and technicians with high </w:t>
      </w:r>
      <w:proofErr w:type="gramStart"/>
      <w:r w:rsidRPr="008514A8">
        <w:rPr>
          <w:rFonts w:asciiTheme="majorBidi" w:hAnsiTheme="majorBidi" w:cstheme="majorBidi"/>
          <w:sz w:val="24"/>
          <w:szCs w:val="24"/>
        </w:rPr>
        <w:t>potential:</w:t>
      </w:r>
      <w:proofErr w:type="gramEnd"/>
    </w:p>
    <w:p w14:paraId="5A726498"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“We often hire young graduates because they bring new ideas and energy that push us to innovate,” </w:t>
      </w:r>
      <w:r w:rsidRPr="008514A8">
        <w:rPr>
          <w:rFonts w:asciiTheme="majorBidi" w:hAnsiTheme="majorBidi" w:cstheme="majorBidi"/>
          <w:sz w:val="24"/>
          <w:szCs w:val="24"/>
        </w:rPr>
        <w:t>commented an HR manager.</w:t>
      </w:r>
    </w:p>
    <w:p w14:paraId="7189EF6F"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In some rarer cases, companies do not hesitate to buy other companies to acquire specific knowledge that they could not develop internally.</w:t>
      </w:r>
    </w:p>
    <w:p w14:paraId="0D571D8F" w14:textId="77777777"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Continuing training also plays a key role in enriching knowledge. Companies encourage their employees to train continuously, whether through external training or internal </w:t>
      </w:r>
      <w:proofErr w:type="gramStart"/>
      <w:r w:rsidRPr="008514A8">
        <w:rPr>
          <w:rFonts w:asciiTheme="majorBidi" w:hAnsiTheme="majorBidi" w:cstheme="majorBidi"/>
          <w:sz w:val="24"/>
          <w:szCs w:val="24"/>
        </w:rPr>
        <w:t>exchanges:</w:t>
      </w:r>
      <w:proofErr w:type="gramEnd"/>
      <w:r w:rsidRPr="008514A8">
        <w:rPr>
          <w:rFonts w:asciiTheme="majorBidi" w:hAnsiTheme="majorBidi" w:cstheme="majorBidi"/>
          <w:sz w:val="24"/>
          <w:szCs w:val="24"/>
        </w:rPr>
        <w:t xml:space="preserve"> </w:t>
      </w:r>
    </w:p>
    <w:p w14:paraId="4117BB90" w14:textId="238F4FD5" w:rsidR="00A7363F"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“We learn a lot from each other. Each project is an opportunity to share knowledge and progress together,”</w:t>
      </w:r>
      <w:r w:rsidRPr="008514A8">
        <w:rPr>
          <w:rFonts w:asciiTheme="majorBidi" w:hAnsiTheme="majorBidi" w:cstheme="majorBidi"/>
          <w:sz w:val="24"/>
          <w:szCs w:val="24"/>
        </w:rPr>
        <w:t xml:space="preserve"> emphasized a technician.</w:t>
      </w:r>
    </w:p>
    <w:p w14:paraId="437629D0" w14:textId="77777777" w:rsidR="008514A8" w:rsidRPr="008514A8" w:rsidRDefault="008514A8" w:rsidP="008514A8">
      <w:pPr>
        <w:spacing w:after="120" w:line="360" w:lineRule="auto"/>
        <w:rPr>
          <w:rFonts w:asciiTheme="majorBidi" w:hAnsiTheme="majorBidi" w:cstheme="majorBidi"/>
          <w:sz w:val="24"/>
          <w:szCs w:val="24"/>
        </w:rPr>
      </w:pPr>
      <w:r w:rsidRPr="008514A8">
        <w:rPr>
          <w:rFonts w:asciiTheme="majorBidi" w:hAnsiTheme="majorBidi" w:cstheme="majorBidi"/>
          <w:sz w:val="24"/>
          <w:szCs w:val="24"/>
        </w:rPr>
        <w:t xml:space="preserve">Finally, welcoming interns and apprentices is a common practice. These young people, often on long-term internships or work-study programs, allow companies to test their technical skills and their ability to integrate before recruiting </w:t>
      </w:r>
      <w:proofErr w:type="gramStart"/>
      <w:r w:rsidRPr="008514A8">
        <w:rPr>
          <w:rFonts w:asciiTheme="majorBidi" w:hAnsiTheme="majorBidi" w:cstheme="majorBidi"/>
          <w:sz w:val="24"/>
          <w:szCs w:val="24"/>
        </w:rPr>
        <w:t>them:</w:t>
      </w:r>
      <w:proofErr w:type="gramEnd"/>
    </w:p>
    <w:p w14:paraId="272EDDE4" w14:textId="77777777" w:rsidR="008514A8" w:rsidRPr="008514A8" w:rsidRDefault="008514A8" w:rsidP="008514A8">
      <w:pPr>
        <w:spacing w:after="120" w:line="360" w:lineRule="auto"/>
        <w:rPr>
          <w:rFonts w:asciiTheme="majorBidi" w:hAnsiTheme="majorBidi" w:cstheme="majorBidi"/>
          <w:sz w:val="24"/>
          <w:szCs w:val="24"/>
        </w:rPr>
      </w:pPr>
      <w:r w:rsidRPr="008514A8">
        <w:rPr>
          <w:rFonts w:asciiTheme="majorBidi" w:hAnsiTheme="majorBidi" w:cstheme="majorBidi"/>
          <w:i/>
          <w:iCs/>
          <w:sz w:val="24"/>
          <w:szCs w:val="24"/>
        </w:rPr>
        <w:t xml:space="preserve">“Interns bring us a fresh perspective and up-to-date skills. It’s a way for us to stay connected to the latest trends,” </w:t>
      </w:r>
      <w:r w:rsidRPr="008514A8">
        <w:rPr>
          <w:rFonts w:asciiTheme="majorBidi" w:hAnsiTheme="majorBidi" w:cstheme="majorBidi"/>
          <w:sz w:val="24"/>
          <w:szCs w:val="24"/>
        </w:rPr>
        <w:t>explained one manager.</w:t>
      </w:r>
    </w:p>
    <w:p w14:paraId="4C0338B0"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short, the companies studied demonstrate a remarkable ability to manage their knowledge and skills proactively. Thanks to regular diagnostics, rigorous technological monitoring and close interaction with their customers, they manage to anticipate future needs and adapt their skills accordingly (Gara Bach Ouerdian et al., 2019). Their approach, although sometimes informal, is based on a culture of continuous learning and collaboration, which allows them to remain competitive in a constantly changing environment. As one manager summed </w:t>
      </w:r>
      <w:proofErr w:type="gramStart"/>
      <w:r w:rsidRPr="008514A8">
        <w:rPr>
          <w:rFonts w:asciiTheme="majorBidi" w:hAnsiTheme="majorBidi" w:cstheme="majorBidi"/>
          <w:sz w:val="24"/>
          <w:szCs w:val="24"/>
        </w:rPr>
        <w:t>up:</w:t>
      </w:r>
      <w:proofErr w:type="gramEnd"/>
    </w:p>
    <w:p w14:paraId="32A28F01" w14:textId="27161D41"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 xml:space="preserve">“Our strength is knowing how to constantly learn and transform this learning into concrete solutions for our customers.” </w:t>
      </w:r>
    </w:p>
    <w:p w14:paraId="2154F5C1"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the companies studied, knowledge enrichment is part of a formalized capitalization approach to technical knowledge and skills. This capitalization is based on IT knowledge bases, whose names vary from one company to another, but which fulfill similar functions (Nonaka &amp; Takeuchi, 2021). These tools include knowledge bases integrating both internal and external </w:t>
      </w:r>
      <w:r w:rsidRPr="008514A8">
        <w:rPr>
          <w:rFonts w:asciiTheme="majorBidi" w:hAnsiTheme="majorBidi" w:cstheme="majorBidi"/>
          <w:sz w:val="24"/>
          <w:szCs w:val="24"/>
        </w:rPr>
        <w:lastRenderedPageBreak/>
        <w:t>knowledge, bug and improvement bases that can be reintegrated into products, think tanks serving as reservoirs of ideas accessible to all employees, as well as FAQs (Frequently Asked Questions) updated by engineers, technicians and operators. The latter, in particular, make it possible to capitalize on tacit knowledge, such as tips or “tricks”, and to create a collective memory of the problems encountered and the solutions provided (Mýtna Kureková et al., 2016</w:t>
      </w:r>
      <w:proofErr w:type="gramStart"/>
      <w:r w:rsidRPr="008514A8">
        <w:rPr>
          <w:rFonts w:asciiTheme="majorBidi" w:hAnsiTheme="majorBidi" w:cstheme="majorBidi"/>
          <w:sz w:val="24"/>
          <w:szCs w:val="24"/>
        </w:rPr>
        <w:t>):</w:t>
      </w:r>
      <w:proofErr w:type="gramEnd"/>
    </w:p>
    <w:p w14:paraId="53649F2A"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“These bases are a gold mine for us. They prevent us from reinventing the wheel for each project,” </w:t>
      </w:r>
      <w:r w:rsidRPr="008514A8">
        <w:rPr>
          <w:rFonts w:asciiTheme="majorBidi" w:hAnsiTheme="majorBidi" w:cstheme="majorBidi"/>
          <w:sz w:val="24"/>
          <w:szCs w:val="24"/>
        </w:rPr>
        <w:t>explained an engineer.</w:t>
      </w:r>
    </w:p>
    <w:p w14:paraId="563AF4FC"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These tools do not just store </w:t>
      </w:r>
      <w:proofErr w:type="gramStart"/>
      <w:r w:rsidRPr="008514A8">
        <w:rPr>
          <w:rFonts w:asciiTheme="majorBidi" w:hAnsiTheme="majorBidi" w:cstheme="majorBidi"/>
          <w:sz w:val="24"/>
          <w:szCs w:val="24"/>
        </w:rPr>
        <w:t>information;</w:t>
      </w:r>
      <w:proofErr w:type="gramEnd"/>
      <w:r w:rsidRPr="008514A8">
        <w:rPr>
          <w:rFonts w:asciiTheme="majorBidi" w:hAnsiTheme="majorBidi" w:cstheme="majorBidi"/>
          <w:sz w:val="24"/>
          <w:szCs w:val="24"/>
        </w:rPr>
        <w:t xml:space="preserve"> they also promote the socialization of knowledge. By allowing employees to ask questions and share their answers, they create a dynamic of exchange and </w:t>
      </w:r>
      <w:proofErr w:type="gramStart"/>
      <w:r w:rsidRPr="008514A8">
        <w:rPr>
          <w:rFonts w:asciiTheme="majorBidi" w:hAnsiTheme="majorBidi" w:cstheme="majorBidi"/>
          <w:sz w:val="24"/>
          <w:szCs w:val="24"/>
        </w:rPr>
        <w:t>collaboration:</w:t>
      </w:r>
      <w:proofErr w:type="gramEnd"/>
    </w:p>
    <w:p w14:paraId="2ED5428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“When we get stuck on a problem, we can question the database or ask a question to the team. Often, someone has already encountered the same difficulty and can help us,”</w:t>
      </w:r>
      <w:r w:rsidRPr="008514A8">
        <w:rPr>
          <w:rFonts w:asciiTheme="majorBidi" w:hAnsiTheme="majorBidi" w:cstheme="majorBidi"/>
          <w:sz w:val="24"/>
          <w:szCs w:val="24"/>
        </w:rPr>
        <w:t xml:space="preserve"> testified a technician.</w:t>
      </w:r>
    </w:p>
    <w:p w14:paraId="466562B2"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This socialization of knowledge is reinforced by a project-based organization, widespread in all the companies observed. This horizontal structure, based on team spirit and solidarity, facilitates the circulation of knowledge and the construction of collective </w:t>
      </w:r>
      <w:proofErr w:type="gramStart"/>
      <w:r w:rsidRPr="008514A8">
        <w:rPr>
          <w:rFonts w:asciiTheme="majorBidi" w:hAnsiTheme="majorBidi" w:cstheme="majorBidi"/>
          <w:sz w:val="24"/>
          <w:szCs w:val="24"/>
        </w:rPr>
        <w:t>skills:</w:t>
      </w:r>
      <w:proofErr w:type="gramEnd"/>
    </w:p>
    <w:p w14:paraId="3A882EF7"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“Working in project mode means learning from each other constantly. This is what allows us to offer innovative solutions to our customers,”</w:t>
      </w:r>
      <w:r w:rsidRPr="008514A8">
        <w:rPr>
          <w:rFonts w:asciiTheme="majorBidi" w:hAnsiTheme="majorBidi" w:cstheme="majorBidi"/>
          <w:sz w:val="24"/>
          <w:szCs w:val="24"/>
        </w:rPr>
        <w:t xml:space="preserve"> stressed a director.</w:t>
      </w:r>
    </w:p>
    <w:p w14:paraId="157E8D94"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However, this socialization of knowledge also raises security issues. Since knowledge is at the heart of the value of these companies, its protection becomes a major concern (Sztangret, 2015). Patents, although useful, are not enough to guarantee total protection against </w:t>
      </w:r>
      <w:proofErr w:type="gramStart"/>
      <w:r w:rsidRPr="008514A8">
        <w:rPr>
          <w:rFonts w:asciiTheme="majorBidi" w:hAnsiTheme="majorBidi" w:cstheme="majorBidi"/>
          <w:sz w:val="24"/>
          <w:szCs w:val="24"/>
        </w:rPr>
        <w:t>counterfeiting:</w:t>
      </w:r>
      <w:proofErr w:type="gramEnd"/>
    </w:p>
    <w:p w14:paraId="33D458D9" w14:textId="330A240F" w:rsidR="00A7363F"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“Patents are good, but they don’t protect everything. And then, they are expensive. We use them mainly when we want to sell part of our knowledge,”</w:t>
      </w:r>
      <w:r w:rsidRPr="008514A8">
        <w:rPr>
          <w:rFonts w:asciiTheme="majorBidi" w:hAnsiTheme="majorBidi" w:cstheme="majorBidi"/>
          <w:sz w:val="24"/>
          <w:szCs w:val="24"/>
        </w:rPr>
        <w:t xml:space="preserve"> explained one manager.</w:t>
      </w:r>
    </w:p>
    <w:p w14:paraId="0966CA49"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To limit the risks associated with an employee leaving, companies adopt two main </w:t>
      </w:r>
      <w:proofErr w:type="gramStart"/>
      <w:r w:rsidRPr="008514A8">
        <w:rPr>
          <w:rFonts w:asciiTheme="majorBidi" w:hAnsiTheme="majorBidi" w:cstheme="majorBidi"/>
          <w:sz w:val="24"/>
          <w:szCs w:val="24"/>
        </w:rPr>
        <w:t>strategies:</w:t>
      </w:r>
      <w:proofErr w:type="gramEnd"/>
      <w:r w:rsidRPr="008514A8">
        <w:rPr>
          <w:rFonts w:asciiTheme="majorBidi" w:hAnsiTheme="majorBidi" w:cstheme="majorBidi"/>
          <w:sz w:val="24"/>
          <w:szCs w:val="24"/>
        </w:rPr>
        <w:t xml:space="preserve"> either they collectivize knowledge as much as possible, to avoid a single person having critical expertise, or they fragment knowledge, so that no one person has a complete vision of a project (Willbergh, 2015):</w:t>
      </w:r>
    </w:p>
    <w:p w14:paraId="476B19C7"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“We try to make sure that each project is led by several people. That way, if someone leaves, we don’t lose everything,”</w:t>
      </w:r>
      <w:r w:rsidRPr="008514A8">
        <w:rPr>
          <w:rFonts w:asciiTheme="majorBidi" w:hAnsiTheme="majorBidi" w:cstheme="majorBidi"/>
          <w:sz w:val="24"/>
          <w:szCs w:val="24"/>
        </w:rPr>
        <w:t xml:space="preserve"> commented a technical manager.</w:t>
      </w:r>
    </w:p>
    <w:p w14:paraId="72C8B72A"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lastRenderedPageBreak/>
        <w:t xml:space="preserve">At the same time, companies make considerable efforts to create an attractive and friendly work environment, in order to retain their talents (Hislop et al., 2018). Hours are often flexible, salaries are competitive, and the work atmosphere is described as warm and </w:t>
      </w:r>
      <w:proofErr w:type="gramStart"/>
      <w:r w:rsidRPr="008514A8">
        <w:rPr>
          <w:rFonts w:asciiTheme="majorBidi" w:hAnsiTheme="majorBidi" w:cstheme="majorBidi"/>
          <w:sz w:val="24"/>
          <w:szCs w:val="24"/>
        </w:rPr>
        <w:t>collaborative:</w:t>
      </w:r>
      <w:proofErr w:type="gramEnd"/>
    </w:p>
    <w:p w14:paraId="1927B83A"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“If you came in one afternoon, you would see balls of paper flying and jokes flying. It’s our way of creating an environment where people want to stay,”</w:t>
      </w:r>
      <w:r w:rsidRPr="008514A8">
        <w:rPr>
          <w:rFonts w:asciiTheme="majorBidi" w:hAnsiTheme="majorBidi" w:cstheme="majorBidi"/>
          <w:sz w:val="24"/>
          <w:szCs w:val="24"/>
        </w:rPr>
        <w:t xml:space="preserve"> said one manager.</w:t>
      </w:r>
    </w:p>
    <w:p w14:paraId="23D34730"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some companies, this appreciation of employees translates into rapid career advancement (El Badawy, 2012). For example, in one company, new arrivals generally obtain managerial status after one year of </w:t>
      </w:r>
      <w:proofErr w:type="gramStart"/>
      <w:r w:rsidRPr="008514A8">
        <w:rPr>
          <w:rFonts w:asciiTheme="majorBidi" w:hAnsiTheme="majorBidi" w:cstheme="majorBidi"/>
          <w:sz w:val="24"/>
          <w:szCs w:val="24"/>
        </w:rPr>
        <w:t>service:</w:t>
      </w:r>
      <w:proofErr w:type="gramEnd"/>
    </w:p>
    <w:p w14:paraId="7B5EC62A"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“We want people to feel recognized and want to get involved,” </w:t>
      </w:r>
      <w:r w:rsidRPr="008514A8">
        <w:rPr>
          <w:rFonts w:asciiTheme="majorBidi" w:hAnsiTheme="majorBidi" w:cstheme="majorBidi"/>
          <w:sz w:val="24"/>
          <w:szCs w:val="24"/>
        </w:rPr>
        <w:t>explained another manager.</w:t>
      </w:r>
    </w:p>
    <w:p w14:paraId="7DE52F44"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Despite these efforts, some companies have chosen to add specific clauses to employment contracts, such as </w:t>
      </w:r>
      <w:proofErr w:type="gramStart"/>
      <w:r w:rsidRPr="008514A8">
        <w:rPr>
          <w:rFonts w:asciiTheme="majorBidi" w:hAnsiTheme="majorBidi" w:cstheme="majorBidi"/>
          <w:sz w:val="24"/>
          <w:szCs w:val="24"/>
        </w:rPr>
        <w:t>a</w:t>
      </w:r>
      <w:proofErr w:type="gramEnd"/>
      <w:r w:rsidRPr="008514A8">
        <w:rPr>
          <w:rFonts w:asciiTheme="majorBidi" w:hAnsiTheme="majorBidi" w:cstheme="majorBidi"/>
          <w:sz w:val="24"/>
          <w:szCs w:val="24"/>
        </w:rPr>
        <w:t xml:space="preserve"> ban on poaching employees from suppliers. However, these measures have limited </w:t>
      </w:r>
      <w:proofErr w:type="gramStart"/>
      <w:r w:rsidRPr="008514A8">
        <w:rPr>
          <w:rFonts w:asciiTheme="majorBidi" w:hAnsiTheme="majorBidi" w:cstheme="majorBidi"/>
          <w:sz w:val="24"/>
          <w:szCs w:val="24"/>
        </w:rPr>
        <w:t>effects:</w:t>
      </w:r>
      <w:proofErr w:type="gramEnd"/>
    </w:p>
    <w:p w14:paraId="5C53473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“We can’t keep people against their will. If someone wants to leave, they will leave. What we can do is create an environment where they want to stay,”</w:t>
      </w:r>
      <w:r w:rsidRPr="008514A8">
        <w:rPr>
          <w:rFonts w:asciiTheme="majorBidi" w:hAnsiTheme="majorBidi" w:cstheme="majorBidi"/>
          <w:sz w:val="24"/>
          <w:szCs w:val="24"/>
        </w:rPr>
        <w:t xml:space="preserve"> said one manager.</w:t>
      </w:r>
    </w:p>
    <w:p w14:paraId="2D11700A" w14:textId="77777777"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This philosophy reflects a detailed understanding of the issues related to knowledge and skills management (Machlup, 2014). Rather than seeking to control employees, these companies focus on creating an ecosystem where individuals feel valued and involved. </w:t>
      </w:r>
    </w:p>
    <w:p w14:paraId="01DF6758" w14:textId="07A7025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Indeed, the capitalization of knowledge in these companies is based on a subtle balance between formalization and socialization. On the one hand, knowledge bases and IT tools make it possible to structure and share knowledge effectively. On the other hand, the organization in project mode and the creation of </w:t>
      </w:r>
      <w:proofErr w:type="gramStart"/>
      <w:r w:rsidRPr="008514A8">
        <w:rPr>
          <w:rFonts w:asciiTheme="majorBidi" w:hAnsiTheme="majorBidi" w:cstheme="majorBidi"/>
          <w:sz w:val="24"/>
          <w:szCs w:val="24"/>
        </w:rPr>
        <w:t>a</w:t>
      </w:r>
      <w:proofErr w:type="gramEnd"/>
      <w:r w:rsidRPr="008514A8">
        <w:rPr>
          <w:rFonts w:asciiTheme="majorBidi" w:hAnsiTheme="majorBidi" w:cstheme="majorBidi"/>
          <w:sz w:val="24"/>
          <w:szCs w:val="24"/>
        </w:rPr>
        <w:t xml:space="preserve"> user-friendly working environment promote collaboration and innovation (Button et al., 2021). However, this openness must be accompanied by protective measures to preserve strategic knowledge. As one manager </w:t>
      </w:r>
      <w:proofErr w:type="gramStart"/>
      <w:r w:rsidRPr="008514A8">
        <w:rPr>
          <w:rFonts w:asciiTheme="majorBidi" w:hAnsiTheme="majorBidi" w:cstheme="majorBidi"/>
          <w:sz w:val="24"/>
          <w:szCs w:val="24"/>
        </w:rPr>
        <w:t>summarized:</w:t>
      </w:r>
      <w:proofErr w:type="gramEnd"/>
    </w:p>
    <w:p w14:paraId="728C3916" w14:textId="77777777" w:rsidR="008514A8" w:rsidRPr="008514A8" w:rsidRDefault="008514A8" w:rsidP="008514A8">
      <w:pPr>
        <w:spacing w:after="120" w:line="360" w:lineRule="auto"/>
        <w:jc w:val="both"/>
        <w:rPr>
          <w:rFonts w:asciiTheme="majorBidi" w:hAnsiTheme="majorBidi" w:cstheme="majorBidi"/>
          <w:i/>
          <w:iCs/>
          <w:sz w:val="24"/>
          <w:szCs w:val="24"/>
        </w:rPr>
      </w:pPr>
      <w:r w:rsidRPr="008514A8">
        <w:rPr>
          <w:rFonts w:asciiTheme="majorBidi" w:hAnsiTheme="majorBidi" w:cstheme="majorBidi"/>
          <w:i/>
          <w:iCs/>
          <w:sz w:val="24"/>
          <w:szCs w:val="24"/>
        </w:rPr>
        <w:t>“Our challenge is to share enough to innovate, but not too much so as not to lose our competitive advantage.”</w:t>
      </w:r>
    </w:p>
    <w:p w14:paraId="087701F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tension between sharing and protection is at the heart of knowledge and skills management in these companies, which must constantly adapt to remain competitive in a constantly changing environment.</w:t>
      </w:r>
    </w:p>
    <w:p w14:paraId="6145ABA3" w14:textId="77777777" w:rsid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As part of a redeployment strategy, we had the opportunity to support an SME specializing in machine design. Faced with a continuous decline in budgets, the company had to rethink its activity to diversify into different alternative markets. This redeployment was based on a global </w:t>
      </w:r>
      <w:r w:rsidRPr="008514A8">
        <w:rPr>
          <w:rFonts w:asciiTheme="majorBidi" w:hAnsiTheme="majorBidi" w:cstheme="majorBidi"/>
          <w:sz w:val="24"/>
          <w:szCs w:val="24"/>
        </w:rPr>
        <w:lastRenderedPageBreak/>
        <w:t xml:space="preserve">engineering of knowledge and skills, an approach that revealed the strengths and weaknesses of the company while tracing innovative development </w:t>
      </w:r>
      <w:proofErr w:type="gramStart"/>
      <w:r w:rsidRPr="008514A8">
        <w:rPr>
          <w:rFonts w:asciiTheme="majorBidi" w:hAnsiTheme="majorBidi" w:cstheme="majorBidi"/>
          <w:sz w:val="24"/>
          <w:szCs w:val="24"/>
        </w:rPr>
        <w:t>paths:</w:t>
      </w:r>
      <w:proofErr w:type="gramEnd"/>
      <w:r w:rsidRPr="008514A8">
        <w:rPr>
          <w:rFonts w:asciiTheme="majorBidi" w:hAnsiTheme="majorBidi" w:cstheme="majorBidi"/>
          <w:sz w:val="24"/>
          <w:szCs w:val="24"/>
        </w:rPr>
        <w:t xml:space="preserve"> </w:t>
      </w:r>
    </w:p>
    <w:p w14:paraId="4EAFF005" w14:textId="1103FE76" w:rsidR="00A7363F"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i/>
          <w:iCs/>
          <w:sz w:val="24"/>
          <w:szCs w:val="24"/>
        </w:rPr>
        <w:t xml:space="preserve">"We knew we had to change, but we did not want to lose what makes us </w:t>
      </w:r>
      <w:proofErr w:type="gramStart"/>
      <w:r w:rsidRPr="008514A8">
        <w:rPr>
          <w:rFonts w:asciiTheme="majorBidi" w:hAnsiTheme="majorBidi" w:cstheme="majorBidi"/>
          <w:i/>
          <w:iCs/>
          <w:sz w:val="24"/>
          <w:szCs w:val="24"/>
        </w:rPr>
        <w:t>valuable:</w:t>
      </w:r>
      <w:proofErr w:type="gramEnd"/>
      <w:r w:rsidRPr="008514A8">
        <w:rPr>
          <w:rFonts w:asciiTheme="majorBidi" w:hAnsiTheme="majorBidi" w:cstheme="majorBidi"/>
          <w:i/>
          <w:iCs/>
          <w:sz w:val="24"/>
          <w:szCs w:val="24"/>
        </w:rPr>
        <w:t xml:space="preserve"> our technical know-how,"</w:t>
      </w:r>
      <w:r w:rsidRPr="008514A8">
        <w:rPr>
          <w:rFonts w:asciiTheme="majorBidi" w:hAnsiTheme="majorBidi" w:cstheme="majorBidi"/>
          <w:sz w:val="24"/>
          <w:szCs w:val="24"/>
        </w:rPr>
        <w:t xml:space="preserve"> explained a general manager.</w:t>
      </w:r>
    </w:p>
    <w:p w14:paraId="4F0B3E88"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The managers of this SME already had a clear and organized vision of collective skills, the result of a constant concern for the management of human and technical resources. This attention was not </w:t>
      </w:r>
      <w:proofErr w:type="gramStart"/>
      <w:r w:rsidRPr="008514A8">
        <w:rPr>
          <w:rFonts w:asciiTheme="majorBidi" w:hAnsiTheme="majorBidi" w:cstheme="majorBidi"/>
          <w:sz w:val="24"/>
          <w:szCs w:val="24"/>
        </w:rPr>
        <w:t>new:</w:t>
      </w:r>
      <w:proofErr w:type="gramEnd"/>
      <w:r w:rsidRPr="008514A8">
        <w:rPr>
          <w:rFonts w:asciiTheme="majorBidi" w:hAnsiTheme="majorBidi" w:cstheme="majorBidi"/>
          <w:sz w:val="24"/>
          <w:szCs w:val="24"/>
        </w:rPr>
        <w:t xml:space="preserve"> ten years earlier, the company had already made a major transition:</w:t>
      </w:r>
    </w:p>
    <w:p w14:paraId="7D6ABB3F" w14:textId="77777777" w:rsidR="008514A8" w:rsidRPr="008514A8" w:rsidRDefault="008514A8" w:rsidP="008514A8">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 xml:space="preserve">“At the time, we took a risk, but it was necessary to survive. Today, we have to reinvent ourselves again,” </w:t>
      </w:r>
      <w:r w:rsidRPr="008514A8">
        <w:rPr>
          <w:rFonts w:asciiTheme="majorBidi" w:hAnsiTheme="majorBidi" w:cstheme="majorBidi"/>
          <w:sz w:val="24"/>
          <w:szCs w:val="24"/>
        </w:rPr>
        <w:t>recalled one of the directors.</w:t>
      </w:r>
    </w:p>
    <w:p w14:paraId="029E69E9"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However, despite its expertise, the company is facing technical limitations. It has perfect mastery of working on thick materials (more than four centimeters), but not on thinner materials, which closes doors to </w:t>
      </w:r>
      <w:proofErr w:type="gramStart"/>
      <w:r w:rsidRPr="008514A8">
        <w:rPr>
          <w:rFonts w:asciiTheme="majorBidi" w:hAnsiTheme="majorBidi" w:cstheme="majorBidi"/>
          <w:sz w:val="24"/>
          <w:szCs w:val="24"/>
        </w:rPr>
        <w:t>it:</w:t>
      </w:r>
      <w:proofErr w:type="gramEnd"/>
    </w:p>
    <w:p w14:paraId="1251B33D" w14:textId="77777777" w:rsidR="008514A8" w:rsidRPr="008514A8" w:rsidRDefault="008514A8" w:rsidP="008514A8">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“We know how to work with our hands, but not with our fingers,”</w:t>
      </w:r>
      <w:r w:rsidRPr="008514A8">
        <w:rPr>
          <w:rFonts w:asciiTheme="majorBidi" w:hAnsiTheme="majorBidi" w:cstheme="majorBidi"/>
          <w:sz w:val="24"/>
          <w:szCs w:val="24"/>
        </w:rPr>
        <w:t xml:space="preserve"> summarized the business leader.</w:t>
      </w:r>
    </w:p>
    <w:p w14:paraId="6355E95A"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This gap was identified through an in-depth analysis of the skills and knowledge available (Bolisani et al., 2018), an approach that the managers carried out </w:t>
      </w:r>
      <w:proofErr w:type="gramStart"/>
      <w:r w:rsidRPr="008514A8">
        <w:rPr>
          <w:rFonts w:asciiTheme="majorBidi" w:hAnsiTheme="majorBidi" w:cstheme="majorBidi"/>
          <w:sz w:val="24"/>
          <w:szCs w:val="24"/>
        </w:rPr>
        <w:t>rigorously:</w:t>
      </w:r>
      <w:proofErr w:type="gramEnd"/>
    </w:p>
    <w:p w14:paraId="71E60965" w14:textId="77777777" w:rsidR="008514A8" w:rsidRPr="008514A8" w:rsidRDefault="008514A8" w:rsidP="008514A8">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“We know our strengths, but also our weaknesses. It is by understanding them that we can move forward,”</w:t>
      </w:r>
      <w:r w:rsidRPr="008514A8">
        <w:rPr>
          <w:rFonts w:asciiTheme="majorBidi" w:hAnsiTheme="majorBidi" w:cstheme="majorBidi"/>
          <w:sz w:val="24"/>
          <w:szCs w:val="24"/>
        </w:rPr>
        <w:t xml:space="preserve"> he added.</w:t>
      </w:r>
    </w:p>
    <w:p w14:paraId="21035085"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By combining their knowledge and skills, the managers were able to redefine their business and identify new opportunities for diversification (Allee, 2012). They considered moving towards other markets, by adapting their expertise to target </w:t>
      </w:r>
      <w:proofErr w:type="gramStart"/>
      <w:r w:rsidRPr="008514A8">
        <w:rPr>
          <w:rFonts w:asciiTheme="majorBidi" w:hAnsiTheme="majorBidi" w:cstheme="majorBidi"/>
          <w:sz w:val="24"/>
          <w:szCs w:val="24"/>
        </w:rPr>
        <w:t>customers:</w:t>
      </w:r>
      <w:proofErr w:type="gramEnd"/>
    </w:p>
    <w:p w14:paraId="1734B64A" w14:textId="77777777" w:rsidR="008514A8" w:rsidRPr="008514A8" w:rsidRDefault="008514A8" w:rsidP="008514A8">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“We realized that our skills could be applied to other sectors, provided that we adapt them,”</w:t>
      </w:r>
      <w:r w:rsidRPr="008514A8">
        <w:rPr>
          <w:rFonts w:asciiTheme="majorBidi" w:hAnsiTheme="majorBidi" w:cstheme="majorBidi"/>
          <w:sz w:val="24"/>
          <w:szCs w:val="24"/>
        </w:rPr>
        <w:t xml:space="preserve"> explained the technical director.</w:t>
      </w:r>
    </w:p>
    <w:p w14:paraId="5C4202A8"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To fill these gaps, the company considered avenues for enrichment, particularly in the areas of large assembly machining and design office.</w:t>
      </w:r>
    </w:p>
    <w:p w14:paraId="6B6CD5B3"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However, this analysis would not have been as fruitful without the company’s previous efforts in knowledge and skills </w:t>
      </w:r>
      <w:proofErr w:type="gramStart"/>
      <w:r w:rsidRPr="008514A8">
        <w:rPr>
          <w:rFonts w:asciiTheme="majorBidi" w:hAnsiTheme="majorBidi" w:cstheme="majorBidi"/>
          <w:sz w:val="24"/>
          <w:szCs w:val="24"/>
        </w:rPr>
        <w:t>management:</w:t>
      </w:r>
      <w:proofErr w:type="gramEnd"/>
    </w:p>
    <w:p w14:paraId="494F18BB" w14:textId="77777777" w:rsidR="008514A8" w:rsidRPr="008514A8" w:rsidRDefault="008514A8" w:rsidP="008514A8">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“This work of reflection is the result of several years of rigorous management of our knowledge. We cannot improvise a redeployment strategy without a solid base,”</w:t>
      </w:r>
      <w:r w:rsidRPr="008514A8">
        <w:rPr>
          <w:rFonts w:asciiTheme="majorBidi" w:hAnsiTheme="majorBidi" w:cstheme="majorBidi"/>
          <w:sz w:val="24"/>
          <w:szCs w:val="24"/>
        </w:rPr>
        <w:t xml:space="preserve"> stressed the CEO.</w:t>
      </w:r>
    </w:p>
    <w:p w14:paraId="7A749C91" w14:textId="77777777" w:rsidR="008514A8" w:rsidRPr="008514A8" w:rsidRDefault="008514A8" w:rsidP="008514A8">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lastRenderedPageBreak/>
        <w:t xml:space="preserve">Indeed, knowledge engineering with a view to strategic redeployment cannot be </w:t>
      </w:r>
      <w:proofErr w:type="gramStart"/>
      <w:r w:rsidRPr="008514A8">
        <w:rPr>
          <w:rFonts w:asciiTheme="majorBidi" w:hAnsiTheme="majorBidi" w:cstheme="majorBidi"/>
          <w:sz w:val="24"/>
          <w:szCs w:val="24"/>
        </w:rPr>
        <w:t>improvised:</w:t>
      </w:r>
      <w:proofErr w:type="gramEnd"/>
      <w:r w:rsidRPr="008514A8">
        <w:rPr>
          <w:rFonts w:asciiTheme="majorBidi" w:hAnsiTheme="majorBidi" w:cstheme="majorBidi"/>
          <w:sz w:val="24"/>
          <w:szCs w:val="24"/>
        </w:rPr>
        <w:t xml:space="preserve"> it is the result of sustainable and attentive management of knowledge and skills.</w:t>
      </w:r>
    </w:p>
    <w:p w14:paraId="66A75053" w14:textId="77777777" w:rsidR="008514A8" w:rsidRPr="008514A8" w:rsidRDefault="008514A8" w:rsidP="00953C71">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 xml:space="preserve">In conclusion, this case study illustrates how an SME can use a structured approach to knowledge and skills management to navigate an uncertain environment and reinvent itself (Doz, 2020). By identifying its strengths and weaknesses, by combining its knowledge and skills, and by relying on a culture of continuous learning, the company was able to chart avenues for diversification while preserving its core business (Heath-Carpentier, 2022). As one manager </w:t>
      </w:r>
      <w:proofErr w:type="gramStart"/>
      <w:r w:rsidRPr="008514A8">
        <w:rPr>
          <w:rFonts w:asciiTheme="majorBidi" w:hAnsiTheme="majorBidi" w:cstheme="majorBidi"/>
          <w:sz w:val="24"/>
          <w:szCs w:val="24"/>
        </w:rPr>
        <w:t>summarized:</w:t>
      </w:r>
      <w:proofErr w:type="gramEnd"/>
    </w:p>
    <w:p w14:paraId="3BC15E7D" w14:textId="7557AFFF" w:rsidR="008514A8" w:rsidRPr="008514A8" w:rsidRDefault="008514A8" w:rsidP="00953C71">
      <w:pPr>
        <w:spacing w:after="120" w:line="360" w:lineRule="auto"/>
        <w:jc w:val="both"/>
        <w:rPr>
          <w:rFonts w:asciiTheme="majorBidi" w:hAnsiTheme="majorBidi" w:cstheme="majorBidi"/>
          <w:sz w:val="24"/>
          <w:szCs w:val="24"/>
        </w:rPr>
      </w:pPr>
      <w:r w:rsidRPr="00953C71">
        <w:rPr>
          <w:rFonts w:asciiTheme="majorBidi" w:hAnsiTheme="majorBidi" w:cstheme="majorBidi"/>
          <w:i/>
          <w:iCs/>
          <w:sz w:val="24"/>
          <w:szCs w:val="24"/>
        </w:rPr>
        <w:t>“Our know-how is our most valuable asset. It is by valuing and adapting it that we can continue to exist and innovate.”</w:t>
      </w:r>
    </w:p>
    <w:p w14:paraId="4D89586A" w14:textId="0452AF31" w:rsidR="00A7363F" w:rsidRDefault="008514A8" w:rsidP="00953C71">
      <w:pPr>
        <w:spacing w:after="120" w:line="360" w:lineRule="auto"/>
        <w:jc w:val="both"/>
        <w:rPr>
          <w:rFonts w:asciiTheme="majorBidi" w:hAnsiTheme="majorBidi" w:cstheme="majorBidi"/>
          <w:sz w:val="24"/>
          <w:szCs w:val="24"/>
        </w:rPr>
      </w:pPr>
      <w:r w:rsidRPr="008514A8">
        <w:rPr>
          <w:rFonts w:asciiTheme="majorBidi" w:hAnsiTheme="majorBidi" w:cstheme="majorBidi"/>
          <w:sz w:val="24"/>
          <w:szCs w:val="24"/>
        </w:rPr>
        <w:t>This approach, although complex, shows that knowledge and skills management is an essential lever for companies facing strategic redeployment challenges.</w:t>
      </w:r>
    </w:p>
    <w:p w14:paraId="29CFEE85" w14:textId="77777777" w:rsidR="00A7363F" w:rsidRDefault="00A7363F" w:rsidP="00953C71">
      <w:pPr>
        <w:spacing w:after="120" w:line="360" w:lineRule="auto"/>
        <w:jc w:val="both"/>
        <w:rPr>
          <w:rFonts w:asciiTheme="majorBidi" w:hAnsiTheme="majorBidi" w:cstheme="majorBidi"/>
          <w:sz w:val="24"/>
          <w:szCs w:val="24"/>
        </w:rPr>
      </w:pPr>
    </w:p>
    <w:p w14:paraId="3B187264" w14:textId="77777777" w:rsidR="00953C71" w:rsidRPr="00953C71" w:rsidRDefault="00953C71" w:rsidP="00953C71">
      <w:pPr>
        <w:spacing w:after="120" w:line="360" w:lineRule="auto"/>
        <w:jc w:val="both"/>
        <w:rPr>
          <w:rFonts w:asciiTheme="majorBidi" w:hAnsiTheme="majorBidi" w:cstheme="majorBidi"/>
          <w:b/>
          <w:bCs/>
          <w:sz w:val="24"/>
          <w:szCs w:val="24"/>
        </w:rPr>
      </w:pPr>
      <w:r w:rsidRPr="00953C71">
        <w:rPr>
          <w:rFonts w:asciiTheme="majorBidi" w:hAnsiTheme="majorBidi" w:cstheme="majorBidi"/>
          <w:b/>
          <w:bCs/>
          <w:sz w:val="24"/>
          <w:szCs w:val="24"/>
        </w:rPr>
        <w:t>Conclusion</w:t>
      </w:r>
    </w:p>
    <w:p w14:paraId="091574F5" w14:textId="77777777" w:rsidR="00953C71"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t xml:space="preserve">In conclusion, our research is part of a broader reflection on the specificities of SMEs, without seeking to establish rigid typologies which, as Schreier (2018) points out, risk leading to abusive generalizations. Instead, we sought to deepen research in this area by showing that some SMEs, particularly those operating in technological sectors, implement resource and skills management practices as sophisticated as those of large companies (Vykhrushch et al., </w:t>
      </w:r>
      <w:proofErr w:type="gramStart"/>
      <w:r w:rsidRPr="00953C71">
        <w:rPr>
          <w:rFonts w:asciiTheme="majorBidi" w:hAnsiTheme="majorBidi" w:cstheme="majorBidi"/>
          <w:sz w:val="24"/>
          <w:szCs w:val="24"/>
        </w:rPr>
        <w:t>2022;</w:t>
      </w:r>
      <w:proofErr w:type="gramEnd"/>
      <w:r w:rsidRPr="00953C71">
        <w:rPr>
          <w:rFonts w:asciiTheme="majorBidi" w:hAnsiTheme="majorBidi" w:cstheme="majorBidi"/>
          <w:sz w:val="24"/>
          <w:szCs w:val="24"/>
        </w:rPr>
        <w:t xml:space="preserve"> Doz, 2020; Gara Bach Ouerdian et al., 2019; Maket &amp; Korir, 2017; Rice, 2015). These practices tend towards increased formalization, while retaining a certain agility specific to small structures. </w:t>
      </w:r>
    </w:p>
    <w:p w14:paraId="57814863" w14:textId="77777777" w:rsidR="00953C71"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t xml:space="preserve">In the small technology companies studied, we observed characteristics similar to those described in the Silicon Valley </w:t>
      </w:r>
      <w:proofErr w:type="gramStart"/>
      <w:r w:rsidRPr="00953C71">
        <w:rPr>
          <w:rFonts w:asciiTheme="majorBidi" w:hAnsiTheme="majorBidi" w:cstheme="majorBidi"/>
          <w:sz w:val="24"/>
          <w:szCs w:val="24"/>
        </w:rPr>
        <w:t>ecosystem:</w:t>
      </w:r>
      <w:proofErr w:type="gramEnd"/>
      <w:r w:rsidRPr="00953C71">
        <w:rPr>
          <w:rFonts w:asciiTheme="majorBidi" w:hAnsiTheme="majorBidi" w:cstheme="majorBidi"/>
          <w:sz w:val="24"/>
          <w:szCs w:val="24"/>
        </w:rPr>
        <w:t xml:space="preserve"> a culture of the intangible, delegation based on individual skills, constant questioning, rapid integration of new technologies and, above all, a management logic centered on knowledge (Steiber et al., 2016; Kushida, 2015). These elements suggest that, beyond cultural and environmental differences, there could be a universal “form” of technology SME, with common managerial and operational orientations. However, our study, of an exploratory nature, does not allow us to draw definitive conclusions on this hypothesis. </w:t>
      </w:r>
    </w:p>
    <w:p w14:paraId="33E94616" w14:textId="17349693" w:rsidR="00953C71" w:rsidRPr="00953C71"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lastRenderedPageBreak/>
        <w:t>What we can affirm, on the other hand, is that the technology SMEs observed are distinguished by management practices that require relatively advanced managerial skills (Heubeck, 2023). These companies move away from the traditional image of the SME, often associated with informal and intuitive management. As noted by Karoui et al. (2017), they embody a “denaturation” of the traditional SME, substituting the explicit for the implicit, the formal for the informal, and favoring a planned and structured approach rather than an opportunistic one. This evolution reflects an awareness among managers of the need to adopt more rigorous methods to remain competitive in a changing economic environment.</w:t>
      </w:r>
    </w:p>
    <w:p w14:paraId="17329914" w14:textId="77777777" w:rsidR="00953C71" w:rsidRPr="00953C71"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t xml:space="preserve">The managers of these SMEs have understood the importance of combining the structural flexibility and strategic flexibility characteristic of small businesses with tools and management methods borrowed from large companies. This hybridization allows them to gain in effectiveness and efficiency, while strengthening their ability to anticipate market developments rather than simply reacting to opportunities (Cappellaro et al., 2020). This evolution marks </w:t>
      </w:r>
      <w:proofErr w:type="gramStart"/>
      <w:r w:rsidRPr="00953C71">
        <w:rPr>
          <w:rFonts w:asciiTheme="majorBidi" w:hAnsiTheme="majorBidi" w:cstheme="majorBidi"/>
          <w:sz w:val="24"/>
          <w:szCs w:val="24"/>
        </w:rPr>
        <w:t>a</w:t>
      </w:r>
      <w:proofErr w:type="gramEnd"/>
      <w:r w:rsidRPr="00953C71">
        <w:rPr>
          <w:rFonts w:asciiTheme="majorBidi" w:hAnsiTheme="majorBidi" w:cstheme="majorBidi"/>
          <w:sz w:val="24"/>
          <w:szCs w:val="24"/>
        </w:rPr>
        <w:t xml:space="preserve"> shift from the myth of the lone entrepreneur to a logic of collective skills, where each member of the organization contributes to the creation of value.</w:t>
      </w:r>
    </w:p>
    <w:p w14:paraId="7116F1E6" w14:textId="77777777" w:rsidR="00953C71"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t xml:space="preserve">However, caution should be exercised in interpreting these results. Our research, although it has highlighted interesting trends, remains exploratory and focuses on a specific sample of technology SMEs. It would be premature to claim that these observations apply to all SMEs, including those operating in less technological or less dynamic sectors. The question of whether this “denaturing” is specific to technology SMEs or whether it reflects a broader evolution of small businesses would deserve to be explored in more depth in future research. </w:t>
      </w:r>
    </w:p>
    <w:p w14:paraId="39BDB792" w14:textId="15C2E6A4" w:rsidR="00A7363F" w:rsidRDefault="00953C71" w:rsidP="00953C71">
      <w:pPr>
        <w:spacing w:after="120" w:line="360" w:lineRule="auto"/>
        <w:jc w:val="both"/>
        <w:rPr>
          <w:rFonts w:asciiTheme="majorBidi" w:hAnsiTheme="majorBidi" w:cstheme="majorBidi"/>
          <w:sz w:val="24"/>
          <w:szCs w:val="24"/>
        </w:rPr>
      </w:pPr>
      <w:r w:rsidRPr="00953C71">
        <w:rPr>
          <w:rFonts w:asciiTheme="majorBidi" w:hAnsiTheme="majorBidi" w:cstheme="majorBidi"/>
          <w:sz w:val="24"/>
          <w:szCs w:val="24"/>
        </w:rPr>
        <w:t>Ultimately, our study shows that technology SMEs are capable of adopting sophisticated management practices, while retaining the traditional assets of small businesses, such as responsiveness and proximity. This ability to reconcile formalization and flexibility could well be one of the keys to their success in an increasingly complex and competitive economic environment. This path, although still under construction, offers promising prospects for the future of SMEs in a constantly changing world.</w:t>
      </w:r>
    </w:p>
    <w:p w14:paraId="0BC2DE12" w14:textId="77777777" w:rsidR="00A7363F" w:rsidRDefault="00A7363F" w:rsidP="00A7363F">
      <w:pPr>
        <w:spacing w:after="120" w:line="360" w:lineRule="auto"/>
        <w:jc w:val="both"/>
        <w:rPr>
          <w:rFonts w:asciiTheme="majorBidi" w:hAnsiTheme="majorBidi" w:cstheme="majorBidi"/>
          <w:sz w:val="24"/>
          <w:szCs w:val="24"/>
        </w:rPr>
      </w:pPr>
    </w:p>
    <w:p w14:paraId="1A63D2D0" w14:textId="3B7E60CE" w:rsidR="00953C71" w:rsidRPr="00953C71" w:rsidRDefault="00953C71" w:rsidP="00A7363F">
      <w:pPr>
        <w:spacing w:after="120" w:line="360" w:lineRule="auto"/>
        <w:jc w:val="both"/>
        <w:rPr>
          <w:rFonts w:asciiTheme="majorBidi" w:hAnsiTheme="majorBidi" w:cstheme="majorBidi"/>
          <w:b/>
          <w:bCs/>
          <w:sz w:val="24"/>
          <w:szCs w:val="24"/>
        </w:rPr>
      </w:pPr>
      <w:r w:rsidRPr="00953C71">
        <w:rPr>
          <w:rFonts w:asciiTheme="majorBidi" w:hAnsiTheme="majorBidi" w:cstheme="majorBidi"/>
          <w:b/>
          <w:bCs/>
          <w:sz w:val="24"/>
          <w:szCs w:val="24"/>
        </w:rPr>
        <w:t>Bibliographic references</w:t>
      </w:r>
    </w:p>
    <w:p w14:paraId="2978CAD1"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Abubakar, A. M., Elrehail, H., Alatailat, M. A., &amp; Elçi, A. (2019). Knowledge management, decision-making style and organizational performance. </w:t>
      </w:r>
      <w:r w:rsidRPr="00DD1453">
        <w:rPr>
          <w:rFonts w:asciiTheme="majorBidi" w:hAnsiTheme="majorBidi" w:cstheme="majorBidi"/>
          <w:i/>
          <w:iCs/>
          <w:color w:val="222222"/>
          <w:sz w:val="24"/>
          <w:szCs w:val="24"/>
          <w:shd w:val="clear" w:color="auto" w:fill="FFFFFF"/>
        </w:rPr>
        <w:t>Journal of Innovation &amp; Knowledge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4</w:t>
      </w:r>
      <w:r w:rsidRPr="00DD1453">
        <w:rPr>
          <w:rFonts w:asciiTheme="majorBidi" w:hAnsiTheme="majorBidi" w:cstheme="majorBidi"/>
          <w:color w:val="222222"/>
          <w:sz w:val="24"/>
          <w:szCs w:val="24"/>
          <w:shd w:val="clear" w:color="auto" w:fill="FFFFFF"/>
        </w:rPr>
        <w:t>(2), 104-114.</w:t>
      </w:r>
    </w:p>
    <w:p w14:paraId="1A096C6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lastRenderedPageBreak/>
        <w:t xml:space="preserve">Akehurst, G., Rueda‐Armengot, C., Vivas López, S., &amp; Palacios Marqués, D. (2011). Ontological supports of </w:t>
      </w:r>
      <w:proofErr w:type="gramStart"/>
      <w:r w:rsidRPr="00DD1453">
        <w:rPr>
          <w:rFonts w:asciiTheme="majorBidi" w:hAnsiTheme="majorBidi" w:cstheme="majorBidi"/>
          <w:color w:val="222222"/>
          <w:sz w:val="24"/>
          <w:szCs w:val="24"/>
          <w:shd w:val="clear" w:color="auto" w:fill="FFFFFF"/>
        </w:rPr>
        <w:t>knowledge:</w:t>
      </w:r>
      <w:proofErr w:type="gramEnd"/>
      <w:r w:rsidRPr="00DD1453">
        <w:rPr>
          <w:rFonts w:asciiTheme="majorBidi" w:hAnsiTheme="majorBidi" w:cstheme="majorBidi"/>
          <w:color w:val="222222"/>
          <w:sz w:val="24"/>
          <w:szCs w:val="24"/>
          <w:shd w:val="clear" w:color="auto" w:fill="FFFFFF"/>
        </w:rPr>
        <w:t xml:space="preserve"> knowledge creation and analytical knowledge. </w:t>
      </w:r>
      <w:r w:rsidRPr="00DD1453">
        <w:rPr>
          <w:rFonts w:asciiTheme="majorBidi" w:hAnsiTheme="majorBidi" w:cstheme="majorBidi"/>
          <w:i/>
          <w:iCs/>
          <w:color w:val="222222"/>
          <w:sz w:val="24"/>
          <w:szCs w:val="24"/>
          <w:shd w:val="clear" w:color="auto" w:fill="FFFFFF"/>
        </w:rPr>
        <w:t>Management Decision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49</w:t>
      </w:r>
      <w:r w:rsidRPr="00DD1453">
        <w:rPr>
          <w:rFonts w:asciiTheme="majorBidi" w:hAnsiTheme="majorBidi" w:cstheme="majorBidi"/>
          <w:color w:val="222222"/>
          <w:sz w:val="24"/>
          <w:szCs w:val="24"/>
          <w:shd w:val="clear" w:color="auto" w:fill="FFFFFF"/>
        </w:rPr>
        <w:t>(2), 183-194.</w:t>
      </w:r>
    </w:p>
    <w:p w14:paraId="7691436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Allee, V. (2012). </w:t>
      </w:r>
      <w:r w:rsidRPr="00DD1453">
        <w:rPr>
          <w:rFonts w:asciiTheme="majorBidi" w:hAnsiTheme="majorBidi" w:cstheme="majorBidi"/>
          <w:i/>
          <w:iCs/>
          <w:color w:val="222222"/>
          <w:sz w:val="24"/>
          <w:szCs w:val="24"/>
          <w:shd w:val="clear" w:color="auto" w:fill="FFFFFF"/>
        </w:rPr>
        <w:t>The knowledge evolution</w:t>
      </w:r>
      <w:r w:rsidRPr="00DD1453">
        <w:rPr>
          <w:rFonts w:asciiTheme="majorBidi" w:hAnsiTheme="majorBidi" w:cstheme="majorBidi"/>
          <w:color w:val="222222"/>
          <w:sz w:val="24"/>
          <w:szCs w:val="24"/>
          <w:shd w:val="clear" w:color="auto" w:fill="FFFFFF"/>
        </w:rPr>
        <w:t>. Routledge.</w:t>
      </w:r>
    </w:p>
    <w:p w14:paraId="3DD47E6B"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Altbach, P. G. (2013). Advancing the national and global knowledge </w:t>
      </w:r>
      <w:proofErr w:type="gramStart"/>
      <w:r w:rsidRPr="00DD1453">
        <w:rPr>
          <w:rFonts w:asciiTheme="majorBidi" w:hAnsiTheme="majorBidi" w:cstheme="majorBidi"/>
          <w:color w:val="222222"/>
          <w:sz w:val="24"/>
          <w:szCs w:val="24"/>
          <w:shd w:val="clear" w:color="auto" w:fill="FFFFFF"/>
        </w:rPr>
        <w:t>economy:</w:t>
      </w:r>
      <w:proofErr w:type="gramEnd"/>
      <w:r w:rsidRPr="00DD1453">
        <w:rPr>
          <w:rFonts w:asciiTheme="majorBidi" w:hAnsiTheme="majorBidi" w:cstheme="majorBidi"/>
          <w:color w:val="222222"/>
          <w:sz w:val="24"/>
          <w:szCs w:val="24"/>
          <w:shd w:val="clear" w:color="auto" w:fill="FFFFFF"/>
        </w:rPr>
        <w:t xml:space="preserve"> The role of research universities in developing countries. </w:t>
      </w:r>
      <w:r w:rsidRPr="00DD1453">
        <w:rPr>
          <w:rFonts w:asciiTheme="majorBidi" w:hAnsiTheme="majorBidi" w:cstheme="majorBidi"/>
          <w:i/>
          <w:iCs/>
          <w:color w:val="222222"/>
          <w:sz w:val="24"/>
          <w:szCs w:val="24"/>
          <w:shd w:val="clear" w:color="auto" w:fill="FFFFFF"/>
        </w:rPr>
        <w:t>Studies in higher education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38</w:t>
      </w:r>
      <w:r w:rsidRPr="00DD1453">
        <w:rPr>
          <w:rFonts w:asciiTheme="majorBidi" w:hAnsiTheme="majorBidi" w:cstheme="majorBidi"/>
          <w:color w:val="222222"/>
          <w:sz w:val="24"/>
          <w:szCs w:val="24"/>
          <w:shd w:val="clear" w:color="auto" w:fill="FFFFFF"/>
        </w:rPr>
        <w:t>(3), 316-330.</w:t>
      </w:r>
    </w:p>
    <w:p w14:paraId="1C02B63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Barrett, F. J. (2017). Creativity and improvisation in jazz and </w:t>
      </w:r>
      <w:proofErr w:type="gramStart"/>
      <w:r w:rsidRPr="00DD1453">
        <w:rPr>
          <w:rFonts w:asciiTheme="majorBidi" w:hAnsiTheme="majorBidi" w:cstheme="majorBidi"/>
          <w:color w:val="222222"/>
          <w:sz w:val="24"/>
          <w:szCs w:val="24"/>
          <w:shd w:val="clear" w:color="auto" w:fill="FFFFFF"/>
        </w:rPr>
        <w:t>organizations:</w:t>
      </w:r>
      <w:proofErr w:type="gramEnd"/>
      <w:r w:rsidRPr="00DD1453">
        <w:rPr>
          <w:rFonts w:asciiTheme="majorBidi" w:hAnsiTheme="majorBidi" w:cstheme="majorBidi"/>
          <w:color w:val="222222"/>
          <w:sz w:val="24"/>
          <w:szCs w:val="24"/>
          <w:shd w:val="clear" w:color="auto" w:fill="FFFFFF"/>
        </w:rPr>
        <w:t xml:space="preserve"> Implications for organizational learning. In </w:t>
      </w:r>
      <w:r w:rsidRPr="00DD1453">
        <w:rPr>
          <w:rFonts w:asciiTheme="majorBidi" w:hAnsiTheme="majorBidi" w:cstheme="majorBidi"/>
          <w:i/>
          <w:iCs/>
          <w:color w:val="222222"/>
          <w:sz w:val="24"/>
          <w:szCs w:val="24"/>
          <w:shd w:val="clear" w:color="auto" w:fill="FFFFFF"/>
        </w:rPr>
        <w:t>The aesthetic turn in management</w:t>
      </w:r>
      <w:r w:rsidRPr="00DD1453">
        <w:rPr>
          <w:rFonts w:asciiTheme="majorBidi" w:hAnsiTheme="majorBidi" w:cstheme="majorBidi"/>
          <w:color w:val="222222"/>
          <w:sz w:val="24"/>
          <w:szCs w:val="24"/>
          <w:shd w:val="clear" w:color="auto" w:fill="FFFFFF"/>
        </w:rPr>
        <w:t> (pp. 407-424). Routledge.</w:t>
      </w:r>
    </w:p>
    <w:p w14:paraId="2F14888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Bartels, I. (2018). Practices and power of knowledge dissemination. International organizations in the externalization of migration management in Morocco and Tunisia. </w:t>
      </w:r>
      <w:r w:rsidRPr="00DD1453">
        <w:rPr>
          <w:rFonts w:asciiTheme="majorBidi" w:hAnsiTheme="majorBidi" w:cstheme="majorBidi"/>
          <w:i/>
          <w:iCs/>
          <w:color w:val="222222"/>
          <w:sz w:val="24"/>
          <w:szCs w:val="24"/>
          <w:shd w:val="clear" w:color="auto" w:fill="FFFFFF"/>
        </w:rPr>
        <w:t>Movements. Journal for Critical Migration and Border Regime Studies</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4</w:t>
      </w:r>
      <w:r w:rsidRPr="00DD1453">
        <w:rPr>
          <w:rFonts w:asciiTheme="majorBidi" w:hAnsiTheme="majorBidi" w:cstheme="majorBidi"/>
          <w:color w:val="222222"/>
          <w:sz w:val="24"/>
          <w:szCs w:val="24"/>
          <w:shd w:val="clear" w:color="auto" w:fill="FFFFFF"/>
        </w:rPr>
        <w:t>(1).</w:t>
      </w:r>
    </w:p>
    <w:p w14:paraId="41C5D61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Belkahla Hakimi, W., Triki, A., &amp; Mjahed Hammami, S. (2014). Developing a customer knowledge-based measure for innovation management. </w:t>
      </w:r>
      <w:r w:rsidRPr="00DD1453">
        <w:rPr>
          <w:rFonts w:asciiTheme="majorBidi" w:hAnsiTheme="majorBidi" w:cstheme="majorBidi"/>
          <w:i/>
          <w:iCs/>
          <w:color w:val="222222"/>
          <w:sz w:val="24"/>
          <w:szCs w:val="24"/>
          <w:shd w:val="clear" w:color="auto" w:fill="FFFFFF"/>
        </w:rPr>
        <w:t>European Journal of innovation management</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17</w:t>
      </w:r>
      <w:r w:rsidRPr="00DD1453">
        <w:rPr>
          <w:rFonts w:asciiTheme="majorBidi" w:hAnsiTheme="majorBidi" w:cstheme="majorBidi"/>
          <w:color w:val="222222"/>
          <w:sz w:val="24"/>
          <w:szCs w:val="24"/>
          <w:shd w:val="clear" w:color="auto" w:fill="FFFFFF"/>
        </w:rPr>
        <w:t>(3), 349-374.</w:t>
      </w:r>
    </w:p>
    <w:p w14:paraId="5DB31BA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Bolisani, E., Bratianu, C., Bolisani, E., &amp; Bratianu, C. (2018). </w:t>
      </w:r>
      <w:r w:rsidRPr="00DD1453">
        <w:rPr>
          <w:rFonts w:asciiTheme="majorBidi" w:hAnsiTheme="majorBidi" w:cstheme="majorBidi"/>
          <w:i/>
          <w:iCs/>
          <w:color w:val="222222"/>
          <w:sz w:val="24"/>
          <w:szCs w:val="24"/>
          <w:shd w:val="clear" w:color="auto" w:fill="FFFFFF"/>
        </w:rPr>
        <w:t>The emergence of knowledge management</w:t>
      </w:r>
      <w:r w:rsidRPr="00DD1453">
        <w:rPr>
          <w:rFonts w:asciiTheme="majorBidi" w:hAnsiTheme="majorBidi" w:cstheme="majorBidi"/>
          <w:color w:val="222222"/>
          <w:sz w:val="24"/>
          <w:szCs w:val="24"/>
          <w:shd w:val="clear" w:color="auto" w:fill="FFFFFF"/>
        </w:rPr>
        <w:t> (pp. 23-47). Springer International Publishing.</w:t>
      </w:r>
    </w:p>
    <w:p w14:paraId="3B38B3B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Boxall, P., &amp; Purcell, J. (2022). </w:t>
      </w:r>
      <w:r w:rsidRPr="00DD1453">
        <w:rPr>
          <w:rFonts w:asciiTheme="majorBidi" w:hAnsiTheme="majorBidi" w:cstheme="majorBidi"/>
          <w:i/>
          <w:iCs/>
          <w:color w:val="222222"/>
          <w:sz w:val="24"/>
          <w:szCs w:val="24"/>
          <w:shd w:val="clear" w:color="auto" w:fill="FFFFFF"/>
        </w:rPr>
        <w:t>Strategy and human resource management</w:t>
      </w:r>
      <w:r w:rsidRPr="00DD1453">
        <w:rPr>
          <w:rFonts w:asciiTheme="majorBidi" w:hAnsiTheme="majorBidi" w:cstheme="majorBidi"/>
          <w:color w:val="222222"/>
          <w:sz w:val="24"/>
          <w:szCs w:val="24"/>
          <w:shd w:val="clear" w:color="auto" w:fill="FFFFFF"/>
        </w:rPr>
        <w:t>. Bloomsbury Publishing.</w:t>
      </w:r>
    </w:p>
    <w:p w14:paraId="0952D8A9"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Brown, A. L., &amp; Palincsar, A. S. (2018). Guided, cooperative learning and individual knowledge acquisition. In </w:t>
      </w:r>
      <w:r w:rsidRPr="00DD1453">
        <w:rPr>
          <w:rFonts w:asciiTheme="majorBidi" w:hAnsiTheme="majorBidi" w:cstheme="majorBidi"/>
          <w:i/>
          <w:iCs/>
          <w:color w:val="222222"/>
          <w:sz w:val="24"/>
          <w:szCs w:val="24"/>
          <w:shd w:val="clear" w:color="auto" w:fill="FFFFFF"/>
        </w:rPr>
        <w:t>Knowing, learning, and instruction</w:t>
      </w:r>
      <w:r w:rsidRPr="00DD1453">
        <w:rPr>
          <w:rFonts w:asciiTheme="majorBidi" w:hAnsiTheme="majorBidi" w:cstheme="majorBidi"/>
          <w:color w:val="222222"/>
          <w:sz w:val="24"/>
          <w:szCs w:val="24"/>
          <w:shd w:val="clear" w:color="auto" w:fill="FFFFFF"/>
        </w:rPr>
        <w:t> (pp. 393-451). Routledge.</w:t>
      </w:r>
    </w:p>
    <w:p w14:paraId="4A4E7DD2"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Brown, R. D. (2020). </w:t>
      </w:r>
      <w:r w:rsidRPr="00DD1453">
        <w:rPr>
          <w:rFonts w:asciiTheme="majorBidi" w:hAnsiTheme="majorBidi" w:cstheme="majorBidi"/>
          <w:i/>
          <w:iCs/>
          <w:color w:val="222222"/>
          <w:sz w:val="24"/>
          <w:szCs w:val="24"/>
          <w:shd w:val="clear" w:color="auto" w:fill="FFFFFF"/>
        </w:rPr>
        <w:t xml:space="preserve">Knowledge is </w:t>
      </w:r>
      <w:proofErr w:type="gramStart"/>
      <w:r w:rsidRPr="00DD1453">
        <w:rPr>
          <w:rFonts w:asciiTheme="majorBidi" w:hAnsiTheme="majorBidi" w:cstheme="majorBidi"/>
          <w:i/>
          <w:iCs/>
          <w:color w:val="222222"/>
          <w:sz w:val="24"/>
          <w:szCs w:val="24"/>
          <w:shd w:val="clear" w:color="auto" w:fill="FFFFFF"/>
        </w:rPr>
        <w:t>power:</w:t>
      </w:r>
      <w:proofErr w:type="gramEnd"/>
      <w:r w:rsidRPr="00DD1453">
        <w:rPr>
          <w:rFonts w:asciiTheme="majorBidi" w:hAnsiTheme="majorBidi" w:cstheme="majorBidi"/>
          <w:i/>
          <w:iCs/>
          <w:color w:val="222222"/>
          <w:sz w:val="24"/>
          <w:szCs w:val="24"/>
          <w:shd w:val="clear" w:color="auto" w:fill="FFFFFF"/>
        </w:rPr>
        <w:t xml:space="preserve"> The diffusion of information in early America, 1700-1865</w:t>
      </w:r>
      <w:r w:rsidRPr="00DD1453">
        <w:rPr>
          <w:rFonts w:asciiTheme="majorBidi" w:hAnsiTheme="majorBidi" w:cstheme="majorBidi"/>
          <w:color w:val="222222"/>
          <w:sz w:val="24"/>
          <w:szCs w:val="24"/>
          <w:shd w:val="clear" w:color="auto" w:fill="FFFFFF"/>
        </w:rPr>
        <w:t>. Oxford University Press.</w:t>
      </w:r>
    </w:p>
    <w:p w14:paraId="403DC47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Bruseker, G., Carboni, N., &amp; Guillem, A. (2017). Cultural heritage data </w:t>
      </w:r>
      <w:proofErr w:type="gramStart"/>
      <w:r w:rsidRPr="00DD1453">
        <w:rPr>
          <w:rFonts w:asciiTheme="majorBidi" w:hAnsiTheme="majorBidi" w:cstheme="majorBidi"/>
          <w:color w:val="222222"/>
          <w:sz w:val="24"/>
          <w:szCs w:val="24"/>
          <w:shd w:val="clear" w:color="auto" w:fill="FFFFFF"/>
        </w:rPr>
        <w:t>management:</w:t>
      </w:r>
      <w:proofErr w:type="gramEnd"/>
      <w:r w:rsidRPr="00DD1453">
        <w:rPr>
          <w:rFonts w:asciiTheme="majorBidi" w:hAnsiTheme="majorBidi" w:cstheme="majorBidi"/>
          <w:color w:val="222222"/>
          <w:sz w:val="24"/>
          <w:szCs w:val="24"/>
          <w:shd w:val="clear" w:color="auto" w:fill="FFFFFF"/>
        </w:rPr>
        <w:t xml:space="preserve"> the role of formal ontology and CIDOC CRM. </w:t>
      </w:r>
      <w:r w:rsidRPr="00DD1453">
        <w:rPr>
          <w:rFonts w:asciiTheme="majorBidi" w:hAnsiTheme="majorBidi" w:cstheme="majorBidi"/>
          <w:i/>
          <w:iCs/>
          <w:color w:val="222222"/>
          <w:sz w:val="24"/>
          <w:szCs w:val="24"/>
          <w:shd w:val="clear" w:color="auto" w:fill="FFFFFF"/>
        </w:rPr>
        <w:t xml:space="preserve">Heritage and archaeology in the digital </w:t>
      </w:r>
      <w:proofErr w:type="gramStart"/>
      <w:r w:rsidRPr="00DD1453">
        <w:rPr>
          <w:rFonts w:asciiTheme="majorBidi" w:hAnsiTheme="majorBidi" w:cstheme="majorBidi"/>
          <w:i/>
          <w:iCs/>
          <w:color w:val="222222"/>
          <w:sz w:val="24"/>
          <w:szCs w:val="24"/>
          <w:shd w:val="clear" w:color="auto" w:fill="FFFFFF"/>
        </w:rPr>
        <w:t>age:</w:t>
      </w:r>
      <w:proofErr w:type="gramEnd"/>
      <w:r w:rsidRPr="00DD1453">
        <w:rPr>
          <w:rFonts w:asciiTheme="majorBidi" w:hAnsiTheme="majorBidi" w:cstheme="majorBidi"/>
          <w:i/>
          <w:iCs/>
          <w:color w:val="222222"/>
          <w:sz w:val="24"/>
          <w:szCs w:val="24"/>
          <w:shd w:val="clear" w:color="auto" w:fill="FFFFFF"/>
        </w:rPr>
        <w:t xml:space="preserve"> acquisition, curation, and dissemination of spatial cultural heritage data</w:t>
      </w:r>
      <w:r w:rsidRPr="00DD1453">
        <w:rPr>
          <w:rFonts w:asciiTheme="majorBidi" w:hAnsiTheme="majorBidi" w:cstheme="majorBidi"/>
          <w:color w:val="222222"/>
          <w:sz w:val="24"/>
          <w:szCs w:val="24"/>
          <w:shd w:val="clear" w:color="auto" w:fill="FFFFFF"/>
        </w:rPr>
        <w:t>, 93-131.</w:t>
      </w:r>
    </w:p>
    <w:p w14:paraId="1CA8027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Button, C., Seifert, L., Chow, J. Y., Araújo, D., &amp; Davids, K. (2021). </w:t>
      </w:r>
      <w:r w:rsidRPr="00DD1453">
        <w:rPr>
          <w:rFonts w:asciiTheme="majorBidi" w:hAnsiTheme="majorBidi" w:cstheme="majorBidi"/>
          <w:i/>
          <w:iCs/>
          <w:color w:val="222222"/>
          <w:sz w:val="24"/>
          <w:szCs w:val="24"/>
          <w:shd w:val="clear" w:color="auto" w:fill="FFFFFF"/>
        </w:rPr>
        <w:t xml:space="preserve">Dynamics of skill </w:t>
      </w:r>
      <w:proofErr w:type="gramStart"/>
      <w:r w:rsidRPr="00DD1453">
        <w:rPr>
          <w:rFonts w:asciiTheme="majorBidi" w:hAnsiTheme="majorBidi" w:cstheme="majorBidi"/>
          <w:i/>
          <w:iCs/>
          <w:color w:val="222222"/>
          <w:sz w:val="24"/>
          <w:szCs w:val="24"/>
          <w:shd w:val="clear" w:color="auto" w:fill="FFFFFF"/>
        </w:rPr>
        <w:t>acquisition:</w:t>
      </w:r>
      <w:proofErr w:type="gramEnd"/>
      <w:r w:rsidRPr="00DD1453">
        <w:rPr>
          <w:rFonts w:asciiTheme="majorBidi" w:hAnsiTheme="majorBidi" w:cstheme="majorBidi"/>
          <w:i/>
          <w:iCs/>
          <w:color w:val="222222"/>
          <w:sz w:val="24"/>
          <w:szCs w:val="24"/>
          <w:shd w:val="clear" w:color="auto" w:fill="FFFFFF"/>
        </w:rPr>
        <w:t xml:space="preserve"> An ecological dynamics approach</w:t>
      </w:r>
      <w:r w:rsidRPr="00DD1453">
        <w:rPr>
          <w:rFonts w:asciiTheme="majorBidi" w:hAnsiTheme="majorBidi" w:cstheme="majorBidi"/>
          <w:color w:val="222222"/>
          <w:sz w:val="24"/>
          <w:szCs w:val="24"/>
          <w:shd w:val="clear" w:color="auto" w:fill="FFFFFF"/>
        </w:rPr>
        <w:t>. Human Kinetics Publishers.</w:t>
      </w:r>
    </w:p>
    <w:p w14:paraId="74748B1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Callaghan, T. J. (2014). </w:t>
      </w:r>
      <w:r w:rsidRPr="00DD1453">
        <w:rPr>
          <w:rFonts w:asciiTheme="majorBidi" w:hAnsiTheme="majorBidi" w:cstheme="majorBidi"/>
          <w:i/>
          <w:iCs/>
          <w:color w:val="222222"/>
          <w:sz w:val="24"/>
          <w:szCs w:val="24"/>
          <w:shd w:val="clear" w:color="auto" w:fill="FFFFFF"/>
        </w:rPr>
        <w:t xml:space="preserve">Leadership competencies needed to manage cross-functional work </w:t>
      </w:r>
      <w:proofErr w:type="gramStart"/>
      <w:r w:rsidRPr="00DD1453">
        <w:rPr>
          <w:rFonts w:asciiTheme="majorBidi" w:hAnsiTheme="majorBidi" w:cstheme="majorBidi"/>
          <w:i/>
          <w:iCs/>
          <w:color w:val="222222"/>
          <w:sz w:val="24"/>
          <w:szCs w:val="24"/>
          <w:shd w:val="clear" w:color="auto" w:fill="FFFFFF"/>
        </w:rPr>
        <w:t>teams:</w:t>
      </w:r>
      <w:proofErr w:type="gramEnd"/>
      <w:r w:rsidRPr="00DD1453">
        <w:rPr>
          <w:rFonts w:asciiTheme="majorBidi" w:hAnsiTheme="majorBidi" w:cstheme="majorBidi"/>
          <w:i/>
          <w:iCs/>
          <w:color w:val="222222"/>
          <w:sz w:val="24"/>
          <w:szCs w:val="24"/>
          <w:shd w:val="clear" w:color="auto" w:fill="FFFFFF"/>
        </w:rPr>
        <w:t xml:space="preserve"> A Delphi study</w:t>
      </w:r>
      <w:r w:rsidRPr="00DD1453">
        <w:rPr>
          <w:rFonts w:asciiTheme="majorBidi" w:hAnsiTheme="majorBidi" w:cstheme="majorBidi"/>
          <w:color w:val="222222"/>
          <w:sz w:val="24"/>
          <w:szCs w:val="24"/>
          <w:shd w:val="clear" w:color="auto" w:fill="FFFFFF"/>
        </w:rPr>
        <w:t>. University of Phoenix.</w:t>
      </w:r>
    </w:p>
    <w:p w14:paraId="3609D49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Cappellaro, G., Tracey, P., &amp; Greenwood, R. (2020). From logic acceptance to logic </w:t>
      </w:r>
      <w:proofErr w:type="gramStart"/>
      <w:r w:rsidRPr="00DD1453">
        <w:rPr>
          <w:rFonts w:asciiTheme="majorBidi" w:hAnsiTheme="majorBidi" w:cstheme="majorBidi"/>
          <w:color w:val="222222"/>
          <w:sz w:val="24"/>
          <w:szCs w:val="24"/>
          <w:shd w:val="clear" w:color="auto" w:fill="FFFFFF"/>
        </w:rPr>
        <w:t>rejection:</w:t>
      </w:r>
      <w:proofErr w:type="gramEnd"/>
      <w:r w:rsidRPr="00DD1453">
        <w:rPr>
          <w:rFonts w:asciiTheme="majorBidi" w:hAnsiTheme="majorBidi" w:cstheme="majorBidi"/>
          <w:color w:val="222222"/>
          <w:sz w:val="24"/>
          <w:szCs w:val="24"/>
          <w:shd w:val="clear" w:color="auto" w:fill="FFFFFF"/>
        </w:rPr>
        <w:t xml:space="preserve"> The process of destabilization in hybrid organizations. </w:t>
      </w:r>
      <w:r w:rsidRPr="00DD1453">
        <w:rPr>
          <w:rFonts w:asciiTheme="majorBidi" w:hAnsiTheme="majorBidi" w:cstheme="majorBidi"/>
          <w:i/>
          <w:iCs/>
          <w:color w:val="222222"/>
          <w:sz w:val="24"/>
          <w:szCs w:val="24"/>
          <w:shd w:val="clear" w:color="auto" w:fill="FFFFFF"/>
        </w:rPr>
        <w:t>Organization Science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31</w:t>
      </w:r>
      <w:r w:rsidRPr="00DD1453">
        <w:rPr>
          <w:rFonts w:asciiTheme="majorBidi" w:hAnsiTheme="majorBidi" w:cstheme="majorBidi"/>
          <w:color w:val="222222"/>
          <w:sz w:val="24"/>
          <w:szCs w:val="24"/>
          <w:shd w:val="clear" w:color="auto" w:fill="FFFFFF"/>
        </w:rPr>
        <w:t>(2), 415-438.</w:t>
      </w:r>
    </w:p>
    <w:p w14:paraId="322D84D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Carrière, J., &amp; Barrette, J. (2005). Gestion des ressources humaines et performance de la firme à capital intellectuel </w:t>
      </w:r>
      <w:proofErr w:type="gramStart"/>
      <w:r w:rsidRPr="00DD1453">
        <w:rPr>
          <w:rFonts w:asciiTheme="majorBidi" w:hAnsiTheme="majorBidi" w:cstheme="majorBidi"/>
          <w:color w:val="222222"/>
          <w:sz w:val="24"/>
          <w:szCs w:val="24"/>
          <w:shd w:val="clear" w:color="auto" w:fill="FFFFFF"/>
        </w:rPr>
        <w:t>élevé:</w:t>
      </w:r>
      <w:proofErr w:type="gramEnd"/>
      <w:r w:rsidRPr="00DD1453">
        <w:rPr>
          <w:rFonts w:asciiTheme="majorBidi" w:hAnsiTheme="majorBidi" w:cstheme="majorBidi"/>
          <w:color w:val="222222"/>
          <w:sz w:val="24"/>
          <w:szCs w:val="24"/>
          <w:shd w:val="clear" w:color="auto" w:fill="FFFFFF"/>
        </w:rPr>
        <w:t xml:space="preserve"> une application des perspectives de contingence et de configuration. </w:t>
      </w:r>
      <w:r w:rsidRPr="00DD1453">
        <w:rPr>
          <w:rFonts w:asciiTheme="majorBidi" w:hAnsiTheme="majorBidi" w:cstheme="majorBidi"/>
          <w:i/>
          <w:iCs/>
          <w:color w:val="222222"/>
          <w:sz w:val="24"/>
          <w:szCs w:val="24"/>
          <w:shd w:val="clear" w:color="auto" w:fill="FFFFFF"/>
        </w:rPr>
        <w:t>Canadian Journal of Administrative Sciences/Revue Canadienne des Sciences de l'Administration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22</w:t>
      </w:r>
      <w:r w:rsidRPr="00DD1453">
        <w:rPr>
          <w:rFonts w:asciiTheme="majorBidi" w:hAnsiTheme="majorBidi" w:cstheme="majorBidi"/>
          <w:color w:val="222222"/>
          <w:sz w:val="24"/>
          <w:szCs w:val="24"/>
          <w:shd w:val="clear" w:color="auto" w:fill="FFFFFF"/>
        </w:rPr>
        <w:t>(4), 302-315.</w:t>
      </w:r>
    </w:p>
    <w:p w14:paraId="174DF9B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Doz, Y. (2020). Fostering strategic </w:t>
      </w:r>
      <w:proofErr w:type="gramStart"/>
      <w:r w:rsidRPr="00DD1453">
        <w:rPr>
          <w:rFonts w:asciiTheme="majorBidi" w:hAnsiTheme="majorBidi" w:cstheme="majorBidi"/>
          <w:color w:val="222222"/>
          <w:sz w:val="24"/>
          <w:szCs w:val="24"/>
          <w:shd w:val="clear" w:color="auto" w:fill="FFFFFF"/>
        </w:rPr>
        <w:t>agility:</w:t>
      </w:r>
      <w:proofErr w:type="gramEnd"/>
      <w:r w:rsidRPr="00DD1453">
        <w:rPr>
          <w:rFonts w:asciiTheme="majorBidi" w:hAnsiTheme="majorBidi" w:cstheme="majorBidi"/>
          <w:color w:val="222222"/>
          <w:sz w:val="24"/>
          <w:szCs w:val="24"/>
          <w:shd w:val="clear" w:color="auto" w:fill="FFFFFF"/>
        </w:rPr>
        <w:t xml:space="preserve"> How individual executives and human resource practices contribute. </w:t>
      </w:r>
      <w:r w:rsidRPr="00DD1453">
        <w:rPr>
          <w:rFonts w:asciiTheme="majorBidi" w:hAnsiTheme="majorBidi" w:cstheme="majorBidi"/>
          <w:i/>
          <w:iCs/>
          <w:color w:val="222222"/>
          <w:sz w:val="24"/>
          <w:szCs w:val="24"/>
          <w:shd w:val="clear" w:color="auto" w:fill="FFFFFF"/>
        </w:rPr>
        <w:t>Human Resource Management Review</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30</w:t>
      </w:r>
      <w:r w:rsidRPr="00DD1453">
        <w:rPr>
          <w:rFonts w:asciiTheme="majorBidi" w:hAnsiTheme="majorBidi" w:cstheme="majorBidi"/>
          <w:color w:val="222222"/>
          <w:sz w:val="24"/>
          <w:szCs w:val="24"/>
          <w:shd w:val="clear" w:color="auto" w:fill="FFFFFF"/>
        </w:rPr>
        <w:t>(1), 100693.</w:t>
      </w:r>
    </w:p>
    <w:p w14:paraId="25725BAB"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Durst, S., &amp; Zieba, M. (2019). Mapping knowledge </w:t>
      </w:r>
      <w:proofErr w:type="gramStart"/>
      <w:r w:rsidRPr="00DD1453">
        <w:rPr>
          <w:rFonts w:asciiTheme="majorBidi" w:hAnsiTheme="majorBidi" w:cstheme="majorBidi"/>
          <w:color w:val="222222"/>
          <w:sz w:val="24"/>
          <w:szCs w:val="24"/>
          <w:shd w:val="clear" w:color="auto" w:fill="FFFFFF"/>
        </w:rPr>
        <w:t>risks:</w:t>
      </w:r>
      <w:proofErr w:type="gramEnd"/>
      <w:r w:rsidRPr="00DD1453">
        <w:rPr>
          <w:rFonts w:asciiTheme="majorBidi" w:hAnsiTheme="majorBidi" w:cstheme="majorBidi"/>
          <w:color w:val="222222"/>
          <w:sz w:val="24"/>
          <w:szCs w:val="24"/>
          <w:shd w:val="clear" w:color="auto" w:fill="FFFFFF"/>
        </w:rPr>
        <w:t xml:space="preserve"> towards a better understanding of knowledge management. </w:t>
      </w:r>
      <w:r w:rsidRPr="00DD1453">
        <w:rPr>
          <w:rFonts w:asciiTheme="majorBidi" w:hAnsiTheme="majorBidi" w:cstheme="majorBidi"/>
          <w:i/>
          <w:iCs/>
          <w:color w:val="222222"/>
          <w:sz w:val="24"/>
          <w:szCs w:val="24"/>
          <w:shd w:val="clear" w:color="auto" w:fill="FFFFFF"/>
        </w:rPr>
        <w:t>Knowledge Management Research &amp; Practice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17</w:t>
      </w:r>
      <w:r w:rsidRPr="00DD1453">
        <w:rPr>
          <w:rFonts w:asciiTheme="majorBidi" w:hAnsiTheme="majorBidi" w:cstheme="majorBidi"/>
          <w:color w:val="222222"/>
          <w:sz w:val="24"/>
          <w:szCs w:val="24"/>
          <w:shd w:val="clear" w:color="auto" w:fill="FFFFFF"/>
        </w:rPr>
        <w:t>(1), 1-13.</w:t>
      </w:r>
    </w:p>
    <w:p w14:paraId="2F3375B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Egorova, A. A., Grishunin, S. V., &amp; Karminsky, A. M. (2022). The Impact of ESG factors on the performance of Information Technology Companies. </w:t>
      </w:r>
      <w:r w:rsidRPr="00DD1453">
        <w:rPr>
          <w:rFonts w:asciiTheme="majorBidi" w:hAnsiTheme="majorBidi" w:cstheme="majorBidi"/>
          <w:i/>
          <w:iCs/>
          <w:color w:val="222222"/>
          <w:sz w:val="24"/>
          <w:szCs w:val="24"/>
          <w:shd w:val="clear" w:color="auto" w:fill="FFFFFF"/>
        </w:rPr>
        <w:t>Procedia Computer Science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199</w:t>
      </w:r>
      <w:r w:rsidRPr="00DD1453">
        <w:rPr>
          <w:rFonts w:asciiTheme="majorBidi" w:hAnsiTheme="majorBidi" w:cstheme="majorBidi"/>
          <w:color w:val="222222"/>
          <w:sz w:val="24"/>
          <w:szCs w:val="24"/>
          <w:shd w:val="clear" w:color="auto" w:fill="FFFFFF"/>
        </w:rPr>
        <w:t>, 339-345.</w:t>
      </w:r>
    </w:p>
    <w:p w14:paraId="64375846"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Eisner, E. (2022). AND KNOWLEDGE. </w:t>
      </w:r>
      <w:r w:rsidRPr="00DD1453">
        <w:rPr>
          <w:rFonts w:asciiTheme="majorBidi" w:hAnsiTheme="majorBidi" w:cstheme="majorBidi"/>
          <w:i/>
          <w:iCs/>
          <w:color w:val="222222"/>
          <w:sz w:val="24"/>
          <w:szCs w:val="24"/>
          <w:shd w:val="clear" w:color="auto" w:fill="FFFFFF"/>
        </w:rPr>
        <w:t xml:space="preserve">Handbook of the arts in qualitative </w:t>
      </w:r>
      <w:proofErr w:type="gramStart"/>
      <w:r w:rsidRPr="00DD1453">
        <w:rPr>
          <w:rFonts w:asciiTheme="majorBidi" w:hAnsiTheme="majorBidi" w:cstheme="majorBidi"/>
          <w:i/>
          <w:iCs/>
          <w:color w:val="222222"/>
          <w:sz w:val="24"/>
          <w:szCs w:val="24"/>
          <w:shd w:val="clear" w:color="auto" w:fill="FFFFFF"/>
        </w:rPr>
        <w:t>research:</w:t>
      </w:r>
      <w:proofErr w:type="gramEnd"/>
      <w:r w:rsidRPr="00DD1453">
        <w:rPr>
          <w:rFonts w:asciiTheme="majorBidi" w:hAnsiTheme="majorBidi" w:cstheme="majorBidi"/>
          <w:i/>
          <w:iCs/>
          <w:color w:val="222222"/>
          <w:sz w:val="24"/>
          <w:szCs w:val="24"/>
          <w:shd w:val="clear" w:color="auto" w:fill="FFFFFF"/>
        </w:rPr>
        <w:t xml:space="preserve"> Perspectives, methodologies, examples, and issues</w:t>
      </w:r>
      <w:r w:rsidRPr="00DD1453">
        <w:rPr>
          <w:rFonts w:asciiTheme="majorBidi" w:hAnsiTheme="majorBidi" w:cstheme="majorBidi"/>
          <w:color w:val="222222"/>
          <w:sz w:val="24"/>
          <w:szCs w:val="24"/>
          <w:shd w:val="clear" w:color="auto" w:fill="FFFFFF"/>
        </w:rPr>
        <w:t>, 1.</w:t>
      </w:r>
    </w:p>
    <w:p w14:paraId="3A42661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El Badawy, T. A. (2012). Knowledge workers and the creation of an information society in Egypt. </w:t>
      </w:r>
      <w:r w:rsidRPr="00DD1453">
        <w:rPr>
          <w:rFonts w:asciiTheme="majorBidi" w:hAnsiTheme="majorBidi" w:cstheme="majorBidi"/>
          <w:i/>
          <w:iCs/>
          <w:color w:val="222222"/>
          <w:sz w:val="24"/>
          <w:szCs w:val="24"/>
          <w:shd w:val="clear" w:color="auto" w:fill="FFFFFF"/>
        </w:rPr>
        <w:t>International Journal of Arab Culture, Management and Sustainable Development</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w:t>
      </w:r>
      <w:r w:rsidRPr="00DD1453">
        <w:rPr>
          <w:rFonts w:asciiTheme="majorBidi" w:hAnsiTheme="majorBidi" w:cstheme="majorBidi"/>
          <w:color w:val="222222"/>
          <w:sz w:val="24"/>
          <w:szCs w:val="24"/>
          <w:shd w:val="clear" w:color="auto" w:fill="FFFFFF"/>
        </w:rPr>
        <w:t>(4), 273-291.</w:t>
      </w:r>
    </w:p>
    <w:p w14:paraId="2054944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Fielding, N. G. (2023). </w:t>
      </w:r>
      <w:r w:rsidRPr="00DD1453">
        <w:rPr>
          <w:rFonts w:asciiTheme="majorBidi" w:hAnsiTheme="majorBidi" w:cstheme="majorBidi"/>
          <w:i/>
          <w:iCs/>
          <w:color w:val="222222"/>
          <w:sz w:val="24"/>
          <w:szCs w:val="24"/>
          <w:shd w:val="clear" w:color="auto" w:fill="FFFFFF"/>
        </w:rPr>
        <w:t xml:space="preserve">Joining </w:t>
      </w:r>
      <w:proofErr w:type="gramStart"/>
      <w:r w:rsidRPr="00DD1453">
        <w:rPr>
          <w:rFonts w:asciiTheme="majorBidi" w:hAnsiTheme="majorBidi" w:cstheme="majorBidi"/>
          <w:i/>
          <w:iCs/>
          <w:color w:val="222222"/>
          <w:sz w:val="24"/>
          <w:szCs w:val="24"/>
          <w:shd w:val="clear" w:color="auto" w:fill="FFFFFF"/>
        </w:rPr>
        <w:t>forces:</w:t>
      </w:r>
      <w:proofErr w:type="gramEnd"/>
      <w:r w:rsidRPr="00DD1453">
        <w:rPr>
          <w:rFonts w:asciiTheme="majorBidi" w:hAnsiTheme="majorBidi" w:cstheme="majorBidi"/>
          <w:i/>
          <w:iCs/>
          <w:color w:val="222222"/>
          <w:sz w:val="24"/>
          <w:szCs w:val="24"/>
          <w:shd w:val="clear" w:color="auto" w:fill="FFFFFF"/>
        </w:rPr>
        <w:t xml:space="preserve"> Police training, socialization and occupational competence</w:t>
      </w:r>
      <w:r w:rsidRPr="00DD1453">
        <w:rPr>
          <w:rFonts w:asciiTheme="majorBidi" w:hAnsiTheme="majorBidi" w:cstheme="majorBidi"/>
          <w:color w:val="222222"/>
          <w:sz w:val="24"/>
          <w:szCs w:val="24"/>
          <w:shd w:val="clear" w:color="auto" w:fill="FFFFFF"/>
        </w:rPr>
        <w:t>. Routledge.</w:t>
      </w:r>
    </w:p>
    <w:p w14:paraId="67C9E3B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lastRenderedPageBreak/>
        <w:t>Fischer, K., &amp; Yan, Z. (2018). The development of dynamic skill theory. In </w:t>
      </w:r>
      <w:r w:rsidRPr="00DD1453">
        <w:rPr>
          <w:rFonts w:asciiTheme="majorBidi" w:hAnsiTheme="majorBidi" w:cstheme="majorBidi"/>
          <w:i/>
          <w:iCs/>
          <w:color w:val="222222"/>
          <w:sz w:val="24"/>
          <w:szCs w:val="24"/>
          <w:shd w:val="clear" w:color="auto" w:fill="FFFFFF"/>
        </w:rPr>
        <w:t>Conceptions of development</w:t>
      </w:r>
      <w:r w:rsidRPr="00DD1453">
        <w:rPr>
          <w:rFonts w:asciiTheme="majorBidi" w:hAnsiTheme="majorBidi" w:cstheme="majorBidi"/>
          <w:color w:val="222222"/>
          <w:sz w:val="24"/>
          <w:szCs w:val="24"/>
          <w:shd w:val="clear" w:color="auto" w:fill="FFFFFF"/>
        </w:rPr>
        <w:t> (pp. 279-312). Psychology Press.</w:t>
      </w:r>
    </w:p>
    <w:p w14:paraId="47313DCB"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Fregidou-Malama, M., &amp; Hyder, A. S. (2021). Multilevel trust in international marketing of healthcare </w:t>
      </w:r>
      <w:proofErr w:type="gramStart"/>
      <w:r w:rsidRPr="00DD1453">
        <w:rPr>
          <w:rFonts w:asciiTheme="majorBidi" w:hAnsiTheme="majorBidi" w:cstheme="majorBidi"/>
          <w:color w:val="222222"/>
          <w:sz w:val="24"/>
          <w:szCs w:val="24"/>
          <w:shd w:val="clear" w:color="auto" w:fill="FFFFFF"/>
        </w:rPr>
        <w:t>services:</w:t>
      </w:r>
      <w:proofErr w:type="gramEnd"/>
      <w:r w:rsidRPr="00DD1453">
        <w:rPr>
          <w:rFonts w:asciiTheme="majorBidi" w:hAnsiTheme="majorBidi" w:cstheme="majorBidi"/>
          <w:color w:val="222222"/>
          <w:sz w:val="24"/>
          <w:szCs w:val="24"/>
          <w:shd w:val="clear" w:color="auto" w:fill="FFFFFF"/>
        </w:rPr>
        <w:t xml:space="preserve"> A five-country comparative study. </w:t>
      </w:r>
      <w:r w:rsidRPr="00DD1453">
        <w:rPr>
          <w:rFonts w:asciiTheme="majorBidi" w:hAnsiTheme="majorBidi" w:cstheme="majorBidi"/>
          <w:i/>
          <w:iCs/>
          <w:color w:val="222222"/>
          <w:sz w:val="24"/>
          <w:szCs w:val="24"/>
          <w:shd w:val="clear" w:color="auto" w:fill="FFFFFF"/>
        </w:rPr>
        <w:t>International Business Review</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30</w:t>
      </w:r>
      <w:r w:rsidRPr="00DD1453">
        <w:rPr>
          <w:rFonts w:asciiTheme="majorBidi" w:hAnsiTheme="majorBidi" w:cstheme="majorBidi"/>
          <w:color w:val="222222"/>
          <w:sz w:val="24"/>
          <w:szCs w:val="24"/>
          <w:shd w:val="clear" w:color="auto" w:fill="FFFFFF"/>
        </w:rPr>
        <w:t>(6), 101895.</w:t>
      </w:r>
    </w:p>
    <w:p w14:paraId="471C609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Gara Bach Ouerdian, E., Mansour, N., Al-Zahrani, A., &amp; Chaari, A. (2019). Promoting knowledge sharing in Tunisian KIFs through HRM Practices. The mediating role of human capital and learning climate. </w:t>
      </w:r>
      <w:r w:rsidRPr="00DD1453">
        <w:rPr>
          <w:rFonts w:asciiTheme="majorBidi" w:hAnsiTheme="majorBidi" w:cstheme="majorBidi"/>
          <w:i/>
          <w:iCs/>
          <w:color w:val="222222"/>
          <w:sz w:val="24"/>
          <w:szCs w:val="24"/>
          <w:shd w:val="clear" w:color="auto" w:fill="FFFFFF"/>
        </w:rPr>
        <w:t>The International Journal of Human Resource Management</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30</w:t>
      </w:r>
      <w:r w:rsidRPr="00DD1453">
        <w:rPr>
          <w:rFonts w:asciiTheme="majorBidi" w:hAnsiTheme="majorBidi" w:cstheme="majorBidi"/>
          <w:color w:val="222222"/>
          <w:sz w:val="24"/>
          <w:szCs w:val="24"/>
          <w:shd w:val="clear" w:color="auto" w:fill="FFFFFF"/>
        </w:rPr>
        <w:t>(16), 2321-2359.</w:t>
      </w:r>
    </w:p>
    <w:p w14:paraId="26B1BA5A"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Griffith, J. A., Baur, J. E., &amp; Buckley, M. R. (2019). Creating comprehensive leadership </w:t>
      </w:r>
      <w:proofErr w:type="gramStart"/>
      <w:r w:rsidRPr="00DD1453">
        <w:rPr>
          <w:rFonts w:asciiTheme="majorBidi" w:hAnsiTheme="majorBidi" w:cstheme="majorBidi"/>
          <w:color w:val="222222"/>
          <w:sz w:val="24"/>
          <w:szCs w:val="24"/>
          <w:shd w:val="clear" w:color="auto" w:fill="FFFFFF"/>
        </w:rPr>
        <w:t>pipelines:</w:t>
      </w:r>
      <w:proofErr w:type="gramEnd"/>
      <w:r w:rsidRPr="00DD1453">
        <w:rPr>
          <w:rFonts w:asciiTheme="majorBidi" w:hAnsiTheme="majorBidi" w:cstheme="majorBidi"/>
          <w:color w:val="222222"/>
          <w:sz w:val="24"/>
          <w:szCs w:val="24"/>
          <w:shd w:val="clear" w:color="auto" w:fill="FFFFFF"/>
        </w:rPr>
        <w:t xml:space="preserve"> Applying the real options approach to organizational leadership development. </w:t>
      </w:r>
      <w:r w:rsidRPr="00DD1453">
        <w:rPr>
          <w:rFonts w:asciiTheme="majorBidi" w:hAnsiTheme="majorBidi" w:cstheme="majorBidi"/>
          <w:i/>
          <w:iCs/>
          <w:color w:val="222222"/>
          <w:sz w:val="24"/>
          <w:szCs w:val="24"/>
          <w:shd w:val="clear" w:color="auto" w:fill="FFFFFF"/>
        </w:rPr>
        <w:t>Human Resource Management Review</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29</w:t>
      </w:r>
      <w:r w:rsidRPr="00DD1453">
        <w:rPr>
          <w:rFonts w:asciiTheme="majorBidi" w:hAnsiTheme="majorBidi" w:cstheme="majorBidi"/>
          <w:color w:val="222222"/>
          <w:sz w:val="24"/>
          <w:szCs w:val="24"/>
          <w:shd w:val="clear" w:color="auto" w:fill="FFFFFF"/>
        </w:rPr>
        <w:t>(3), 305-315.</w:t>
      </w:r>
    </w:p>
    <w:p w14:paraId="0B46C519"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Hartman, J. R., Dahm, D. J., &amp; Nelson, E. A. (2015). ConfChem conference on flipped </w:t>
      </w:r>
      <w:proofErr w:type="gramStart"/>
      <w:r w:rsidRPr="00DD1453">
        <w:rPr>
          <w:rFonts w:asciiTheme="majorBidi" w:hAnsiTheme="majorBidi" w:cstheme="majorBidi"/>
          <w:color w:val="222222"/>
          <w:sz w:val="24"/>
          <w:szCs w:val="24"/>
          <w:shd w:val="clear" w:color="auto" w:fill="FFFFFF"/>
        </w:rPr>
        <w:t>classroom:</w:t>
      </w:r>
      <w:proofErr w:type="gramEnd"/>
      <w:r w:rsidRPr="00DD1453">
        <w:rPr>
          <w:rFonts w:asciiTheme="majorBidi" w:hAnsiTheme="majorBidi" w:cstheme="majorBidi"/>
          <w:color w:val="222222"/>
          <w:sz w:val="24"/>
          <w:szCs w:val="24"/>
          <w:shd w:val="clear" w:color="auto" w:fill="FFFFFF"/>
        </w:rPr>
        <w:t xml:space="preserve"> Time-saving resources aligned with cognitive science to help instructors. </w:t>
      </w:r>
      <w:r w:rsidRPr="00DD1453">
        <w:rPr>
          <w:rFonts w:asciiTheme="majorBidi" w:hAnsiTheme="majorBidi" w:cstheme="majorBidi"/>
          <w:i/>
          <w:iCs/>
          <w:color w:val="222222"/>
          <w:sz w:val="24"/>
          <w:szCs w:val="24"/>
          <w:shd w:val="clear" w:color="auto" w:fill="FFFFFF"/>
        </w:rPr>
        <w:t>Journal of Chemical Education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92</w:t>
      </w:r>
      <w:r w:rsidRPr="00DD1453">
        <w:rPr>
          <w:rFonts w:asciiTheme="majorBidi" w:hAnsiTheme="majorBidi" w:cstheme="majorBidi"/>
          <w:color w:val="222222"/>
          <w:sz w:val="24"/>
          <w:szCs w:val="24"/>
          <w:shd w:val="clear" w:color="auto" w:fill="FFFFFF"/>
        </w:rPr>
        <w:t>(9), 1568-1569.</w:t>
      </w:r>
    </w:p>
    <w:p w14:paraId="3503FE9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Hass, J. K. (2020). </w:t>
      </w:r>
      <w:r w:rsidRPr="00DD1453">
        <w:rPr>
          <w:rFonts w:asciiTheme="majorBidi" w:hAnsiTheme="majorBidi" w:cstheme="majorBidi"/>
          <w:i/>
          <w:iCs/>
          <w:color w:val="222222"/>
          <w:sz w:val="24"/>
          <w:szCs w:val="24"/>
          <w:shd w:val="clear" w:color="auto" w:fill="FFFFFF"/>
        </w:rPr>
        <w:t xml:space="preserve">Economic </w:t>
      </w:r>
      <w:proofErr w:type="gramStart"/>
      <w:r w:rsidRPr="00DD1453">
        <w:rPr>
          <w:rFonts w:asciiTheme="majorBidi" w:hAnsiTheme="majorBidi" w:cstheme="majorBidi"/>
          <w:i/>
          <w:iCs/>
          <w:color w:val="222222"/>
          <w:sz w:val="24"/>
          <w:szCs w:val="24"/>
          <w:shd w:val="clear" w:color="auto" w:fill="FFFFFF"/>
        </w:rPr>
        <w:t>sociology:</w:t>
      </w:r>
      <w:proofErr w:type="gramEnd"/>
      <w:r w:rsidRPr="00DD1453">
        <w:rPr>
          <w:rFonts w:asciiTheme="majorBidi" w:hAnsiTheme="majorBidi" w:cstheme="majorBidi"/>
          <w:i/>
          <w:iCs/>
          <w:color w:val="222222"/>
          <w:sz w:val="24"/>
          <w:szCs w:val="24"/>
          <w:shd w:val="clear" w:color="auto" w:fill="FFFFFF"/>
        </w:rPr>
        <w:t xml:space="preserve"> An introduction</w:t>
      </w:r>
      <w:r w:rsidRPr="00DD1453">
        <w:rPr>
          <w:rFonts w:asciiTheme="majorBidi" w:hAnsiTheme="majorBidi" w:cstheme="majorBidi"/>
          <w:color w:val="222222"/>
          <w:sz w:val="24"/>
          <w:szCs w:val="24"/>
          <w:shd w:val="clear" w:color="auto" w:fill="FFFFFF"/>
        </w:rPr>
        <w:t>. Routledge.</w:t>
      </w:r>
    </w:p>
    <w:p w14:paraId="754B9F2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Heath-Carpentier, A. (2022). </w:t>
      </w:r>
      <w:r w:rsidRPr="00DD1453">
        <w:rPr>
          <w:rFonts w:asciiTheme="majorBidi" w:hAnsiTheme="majorBidi" w:cstheme="majorBidi"/>
          <w:i/>
          <w:iCs/>
          <w:color w:val="222222"/>
          <w:sz w:val="24"/>
          <w:szCs w:val="24"/>
          <w:shd w:val="clear" w:color="auto" w:fill="FFFFFF"/>
        </w:rPr>
        <w:t xml:space="preserve">The challenge of </w:t>
      </w:r>
      <w:proofErr w:type="gramStart"/>
      <w:r w:rsidRPr="00DD1453">
        <w:rPr>
          <w:rFonts w:asciiTheme="majorBidi" w:hAnsiTheme="majorBidi" w:cstheme="majorBidi"/>
          <w:i/>
          <w:iCs/>
          <w:color w:val="222222"/>
          <w:sz w:val="24"/>
          <w:szCs w:val="24"/>
          <w:shd w:val="clear" w:color="auto" w:fill="FFFFFF"/>
        </w:rPr>
        <w:t>complexity:</w:t>
      </w:r>
      <w:proofErr w:type="gramEnd"/>
      <w:r w:rsidRPr="00DD1453">
        <w:rPr>
          <w:rFonts w:asciiTheme="majorBidi" w:hAnsiTheme="majorBidi" w:cstheme="majorBidi"/>
          <w:i/>
          <w:iCs/>
          <w:color w:val="222222"/>
          <w:sz w:val="24"/>
          <w:szCs w:val="24"/>
          <w:shd w:val="clear" w:color="auto" w:fill="FFFFFF"/>
        </w:rPr>
        <w:t xml:space="preserve"> Essays by Edgar Morin</w:t>
      </w:r>
      <w:r w:rsidRPr="00DD1453">
        <w:rPr>
          <w:rFonts w:asciiTheme="majorBidi" w:hAnsiTheme="majorBidi" w:cstheme="majorBidi"/>
          <w:color w:val="222222"/>
          <w:sz w:val="24"/>
          <w:szCs w:val="24"/>
          <w:shd w:val="clear" w:color="auto" w:fill="FFFFFF"/>
        </w:rPr>
        <w:t>. Liverpool University Press.</w:t>
      </w:r>
    </w:p>
    <w:p w14:paraId="71259E5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Heubeck, T. (2023). Managerial capabilities as facilitators of digital </w:t>
      </w:r>
      <w:proofErr w:type="gramStart"/>
      <w:r w:rsidRPr="00DD1453">
        <w:rPr>
          <w:rFonts w:asciiTheme="majorBidi" w:hAnsiTheme="majorBidi" w:cstheme="majorBidi"/>
          <w:color w:val="222222"/>
          <w:sz w:val="24"/>
          <w:szCs w:val="24"/>
          <w:shd w:val="clear" w:color="auto" w:fill="FFFFFF"/>
        </w:rPr>
        <w:t>transformation?</w:t>
      </w:r>
      <w:proofErr w:type="gramEnd"/>
      <w:r w:rsidRPr="00DD1453">
        <w:rPr>
          <w:rFonts w:asciiTheme="majorBidi" w:hAnsiTheme="majorBidi" w:cstheme="majorBidi"/>
          <w:color w:val="222222"/>
          <w:sz w:val="24"/>
          <w:szCs w:val="24"/>
          <w:shd w:val="clear" w:color="auto" w:fill="FFFFFF"/>
        </w:rPr>
        <w:t xml:space="preserve"> Dynamic managerial capabilities as antecedents to digital business model transformation and firm performance. </w:t>
      </w:r>
      <w:r w:rsidRPr="00DD1453">
        <w:rPr>
          <w:rFonts w:asciiTheme="majorBidi" w:hAnsiTheme="majorBidi" w:cstheme="majorBidi"/>
          <w:i/>
          <w:iCs/>
          <w:color w:val="222222"/>
          <w:sz w:val="24"/>
          <w:szCs w:val="24"/>
          <w:shd w:val="clear" w:color="auto" w:fill="FFFFFF"/>
        </w:rPr>
        <w:t>Digital Business</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3</w:t>
      </w:r>
      <w:r w:rsidRPr="00DD1453">
        <w:rPr>
          <w:rFonts w:asciiTheme="majorBidi" w:hAnsiTheme="majorBidi" w:cstheme="majorBidi"/>
          <w:color w:val="222222"/>
          <w:sz w:val="24"/>
          <w:szCs w:val="24"/>
          <w:shd w:val="clear" w:color="auto" w:fill="FFFFFF"/>
        </w:rPr>
        <w:t>(1), 100053.</w:t>
      </w:r>
    </w:p>
    <w:p w14:paraId="4B395816"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Hislop, D., Bosua, R., &amp; Helms, R. (2018). </w:t>
      </w:r>
      <w:r w:rsidRPr="00DD1453">
        <w:rPr>
          <w:rFonts w:asciiTheme="majorBidi" w:hAnsiTheme="majorBidi" w:cstheme="majorBidi"/>
          <w:i/>
          <w:iCs/>
          <w:color w:val="222222"/>
          <w:sz w:val="24"/>
          <w:szCs w:val="24"/>
          <w:shd w:val="clear" w:color="auto" w:fill="FFFFFF"/>
        </w:rPr>
        <w:t xml:space="preserve">Knowledge management in </w:t>
      </w:r>
      <w:proofErr w:type="gramStart"/>
      <w:r w:rsidRPr="00DD1453">
        <w:rPr>
          <w:rFonts w:asciiTheme="majorBidi" w:hAnsiTheme="majorBidi" w:cstheme="majorBidi"/>
          <w:i/>
          <w:iCs/>
          <w:color w:val="222222"/>
          <w:sz w:val="24"/>
          <w:szCs w:val="24"/>
          <w:shd w:val="clear" w:color="auto" w:fill="FFFFFF"/>
        </w:rPr>
        <w:t>organizations:</w:t>
      </w:r>
      <w:proofErr w:type="gramEnd"/>
      <w:r w:rsidRPr="00DD1453">
        <w:rPr>
          <w:rFonts w:asciiTheme="majorBidi" w:hAnsiTheme="majorBidi" w:cstheme="majorBidi"/>
          <w:i/>
          <w:iCs/>
          <w:color w:val="222222"/>
          <w:sz w:val="24"/>
          <w:szCs w:val="24"/>
          <w:shd w:val="clear" w:color="auto" w:fill="FFFFFF"/>
        </w:rPr>
        <w:t xml:space="preserve"> A critical introduction</w:t>
      </w:r>
      <w:r w:rsidRPr="00DD1453">
        <w:rPr>
          <w:rFonts w:asciiTheme="majorBidi" w:hAnsiTheme="majorBidi" w:cstheme="majorBidi"/>
          <w:color w:val="222222"/>
          <w:sz w:val="24"/>
          <w:szCs w:val="24"/>
          <w:shd w:val="clear" w:color="auto" w:fill="FFFFFF"/>
        </w:rPr>
        <w:t>. Oxford university press.</w:t>
      </w:r>
    </w:p>
    <w:p w14:paraId="71F5190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Holbeche, L. (2022). </w:t>
      </w:r>
      <w:r w:rsidRPr="00DD1453">
        <w:rPr>
          <w:rFonts w:asciiTheme="majorBidi" w:hAnsiTheme="majorBidi" w:cstheme="majorBidi"/>
          <w:i/>
          <w:iCs/>
          <w:color w:val="222222"/>
          <w:sz w:val="24"/>
          <w:szCs w:val="24"/>
          <w:shd w:val="clear" w:color="auto" w:fill="FFFFFF"/>
        </w:rPr>
        <w:t>Aligning human resources and business strategy</w:t>
      </w:r>
      <w:r w:rsidRPr="00DD1453">
        <w:rPr>
          <w:rFonts w:asciiTheme="majorBidi" w:hAnsiTheme="majorBidi" w:cstheme="majorBidi"/>
          <w:color w:val="222222"/>
          <w:sz w:val="24"/>
          <w:szCs w:val="24"/>
          <w:shd w:val="clear" w:color="auto" w:fill="FFFFFF"/>
        </w:rPr>
        <w:t>. Routledge.</w:t>
      </w:r>
    </w:p>
    <w:p w14:paraId="62CE4E5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Jemielniak, D. (2012). </w:t>
      </w:r>
      <w:r w:rsidRPr="00DD1453">
        <w:rPr>
          <w:rFonts w:asciiTheme="majorBidi" w:hAnsiTheme="majorBidi" w:cstheme="majorBidi"/>
          <w:i/>
          <w:iCs/>
          <w:color w:val="222222"/>
          <w:sz w:val="24"/>
          <w:szCs w:val="24"/>
          <w:shd w:val="clear" w:color="auto" w:fill="FFFFFF"/>
        </w:rPr>
        <w:t>The new knowledge workers</w:t>
      </w:r>
      <w:r w:rsidRPr="00DD1453">
        <w:rPr>
          <w:rFonts w:asciiTheme="majorBidi" w:hAnsiTheme="majorBidi" w:cstheme="majorBidi"/>
          <w:color w:val="222222"/>
          <w:sz w:val="24"/>
          <w:szCs w:val="24"/>
          <w:shd w:val="clear" w:color="auto" w:fill="FFFFFF"/>
        </w:rPr>
        <w:t>. Edward Elgar Publishing.</w:t>
      </w:r>
    </w:p>
    <w:p w14:paraId="1F9FC14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Johannessen, J. A. (2021). Organizational Learning in Hospitals. In </w:t>
      </w:r>
      <w:r w:rsidRPr="00DD1453">
        <w:rPr>
          <w:rFonts w:asciiTheme="majorBidi" w:hAnsiTheme="majorBidi" w:cstheme="majorBidi"/>
          <w:i/>
          <w:iCs/>
          <w:color w:val="222222"/>
          <w:sz w:val="24"/>
          <w:szCs w:val="24"/>
          <w:shd w:val="clear" w:color="auto" w:fill="FFFFFF"/>
        </w:rPr>
        <w:t>The Soft Side of Knowledge Management in Health Institutions</w:t>
      </w:r>
      <w:r w:rsidRPr="00DD1453">
        <w:rPr>
          <w:rFonts w:asciiTheme="majorBidi" w:hAnsiTheme="majorBidi" w:cstheme="majorBidi"/>
          <w:color w:val="222222"/>
          <w:sz w:val="24"/>
          <w:szCs w:val="24"/>
          <w:shd w:val="clear" w:color="auto" w:fill="FFFFFF"/>
        </w:rPr>
        <w:t> (pp. 49-60). Emerald Publishing Limited.</w:t>
      </w:r>
    </w:p>
    <w:p w14:paraId="4EC5EB86"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Karoui, L., Khlif, W., &amp; Ingley, C. (2017). SME heterogeneity and board </w:t>
      </w:r>
      <w:proofErr w:type="gramStart"/>
      <w:r w:rsidRPr="00DD1453">
        <w:rPr>
          <w:rFonts w:asciiTheme="majorBidi" w:hAnsiTheme="majorBidi" w:cstheme="majorBidi"/>
          <w:color w:val="222222"/>
          <w:sz w:val="24"/>
          <w:szCs w:val="24"/>
          <w:shd w:val="clear" w:color="auto" w:fill="FFFFFF"/>
        </w:rPr>
        <w:t>configurations:</w:t>
      </w:r>
      <w:proofErr w:type="gramEnd"/>
      <w:r w:rsidRPr="00DD1453">
        <w:rPr>
          <w:rFonts w:asciiTheme="majorBidi" w:hAnsiTheme="majorBidi" w:cstheme="majorBidi"/>
          <w:color w:val="222222"/>
          <w:sz w:val="24"/>
          <w:szCs w:val="24"/>
          <w:shd w:val="clear" w:color="auto" w:fill="FFFFFF"/>
        </w:rPr>
        <w:t xml:space="preserve"> an empirical typology. </w:t>
      </w:r>
      <w:r w:rsidRPr="00DD1453">
        <w:rPr>
          <w:rFonts w:asciiTheme="majorBidi" w:hAnsiTheme="majorBidi" w:cstheme="majorBidi"/>
          <w:i/>
          <w:iCs/>
          <w:color w:val="222222"/>
          <w:sz w:val="24"/>
          <w:szCs w:val="24"/>
          <w:shd w:val="clear" w:color="auto" w:fill="FFFFFF"/>
        </w:rPr>
        <w:t>Journal of Small Business and Enterprise Development</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24</w:t>
      </w:r>
      <w:r w:rsidRPr="00DD1453">
        <w:rPr>
          <w:rFonts w:asciiTheme="majorBidi" w:hAnsiTheme="majorBidi" w:cstheme="majorBidi"/>
          <w:color w:val="222222"/>
          <w:sz w:val="24"/>
          <w:szCs w:val="24"/>
          <w:shd w:val="clear" w:color="auto" w:fill="FFFFFF"/>
        </w:rPr>
        <w:t>(3), 545-561.</w:t>
      </w:r>
    </w:p>
    <w:p w14:paraId="19E958C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Kianto, A., Sáenz, J., &amp; Aramburu, N. (2017). Knowledge-based human resource management practices, intellectual capital and innovation. </w:t>
      </w:r>
      <w:r w:rsidRPr="00DD1453">
        <w:rPr>
          <w:rFonts w:asciiTheme="majorBidi" w:hAnsiTheme="majorBidi" w:cstheme="majorBidi"/>
          <w:i/>
          <w:iCs/>
          <w:color w:val="222222"/>
          <w:sz w:val="24"/>
          <w:szCs w:val="24"/>
          <w:shd w:val="clear" w:color="auto" w:fill="FFFFFF"/>
        </w:rPr>
        <w:t>Journal of Business Research</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81</w:t>
      </w:r>
      <w:r w:rsidRPr="00DD1453">
        <w:rPr>
          <w:rFonts w:asciiTheme="majorBidi" w:hAnsiTheme="majorBidi" w:cstheme="majorBidi"/>
          <w:color w:val="222222"/>
          <w:sz w:val="24"/>
          <w:szCs w:val="24"/>
          <w:shd w:val="clear" w:color="auto" w:fill="FFFFFF"/>
        </w:rPr>
        <w:t>, 11-20.</w:t>
      </w:r>
    </w:p>
    <w:p w14:paraId="27FEE59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Koopmans, F., van Nierop, P., Andres-Alonso, M., Byrnes, A., Cijsouw, T., Coba, M. P., ... &amp; Verhage, M. (2019). </w:t>
      </w:r>
      <w:proofErr w:type="gramStart"/>
      <w:r w:rsidRPr="00DD1453">
        <w:rPr>
          <w:rFonts w:asciiTheme="majorBidi" w:hAnsiTheme="majorBidi" w:cstheme="majorBidi"/>
          <w:color w:val="222222"/>
          <w:sz w:val="24"/>
          <w:szCs w:val="24"/>
          <w:shd w:val="clear" w:color="auto" w:fill="FFFFFF"/>
        </w:rPr>
        <w:t>SynGO:</w:t>
      </w:r>
      <w:proofErr w:type="gramEnd"/>
      <w:r w:rsidRPr="00DD1453">
        <w:rPr>
          <w:rFonts w:asciiTheme="majorBidi" w:hAnsiTheme="majorBidi" w:cstheme="majorBidi"/>
          <w:color w:val="222222"/>
          <w:sz w:val="24"/>
          <w:szCs w:val="24"/>
          <w:shd w:val="clear" w:color="auto" w:fill="FFFFFF"/>
        </w:rPr>
        <w:t xml:space="preserve"> an evidence-based, expert-curated knowledge base for the synapse. </w:t>
      </w:r>
      <w:r w:rsidRPr="00DD1453">
        <w:rPr>
          <w:rFonts w:asciiTheme="majorBidi" w:hAnsiTheme="majorBidi" w:cstheme="majorBidi"/>
          <w:i/>
          <w:iCs/>
          <w:color w:val="222222"/>
          <w:sz w:val="24"/>
          <w:szCs w:val="24"/>
          <w:shd w:val="clear" w:color="auto" w:fill="FFFFFF"/>
        </w:rPr>
        <w:t>Neuron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103</w:t>
      </w:r>
      <w:r w:rsidRPr="00DD1453">
        <w:rPr>
          <w:rFonts w:asciiTheme="majorBidi" w:hAnsiTheme="majorBidi" w:cstheme="majorBidi"/>
          <w:color w:val="222222"/>
          <w:sz w:val="24"/>
          <w:szCs w:val="24"/>
          <w:shd w:val="clear" w:color="auto" w:fill="FFFFFF"/>
        </w:rPr>
        <w:t>(2), 217-234.</w:t>
      </w:r>
    </w:p>
    <w:p w14:paraId="78BAA6E5"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Kurzhals, K. (2021). </w:t>
      </w:r>
      <w:r w:rsidRPr="00DD1453">
        <w:rPr>
          <w:rFonts w:asciiTheme="majorBidi" w:hAnsiTheme="majorBidi" w:cstheme="majorBidi"/>
          <w:i/>
          <w:iCs/>
          <w:color w:val="222222"/>
          <w:sz w:val="24"/>
          <w:szCs w:val="24"/>
          <w:shd w:val="clear" w:color="auto" w:fill="FFFFFF"/>
        </w:rPr>
        <w:t>Resource recombination in firms from a dynamic capability perspective</w:t>
      </w:r>
      <w:r w:rsidRPr="00DD1453">
        <w:rPr>
          <w:rFonts w:asciiTheme="majorBidi" w:hAnsiTheme="majorBidi" w:cstheme="majorBidi"/>
          <w:color w:val="222222"/>
          <w:sz w:val="24"/>
          <w:szCs w:val="24"/>
          <w:shd w:val="clear" w:color="auto" w:fill="FFFFFF"/>
        </w:rPr>
        <w:t>. Springer Fachmedien Wiesbaden GmbH.</w:t>
      </w:r>
    </w:p>
    <w:p w14:paraId="2BA1A59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Kushida, K. (2015). A strategic overview of the Silicon Valley </w:t>
      </w:r>
      <w:proofErr w:type="gramStart"/>
      <w:r w:rsidRPr="00DD1453">
        <w:rPr>
          <w:rFonts w:asciiTheme="majorBidi" w:hAnsiTheme="majorBidi" w:cstheme="majorBidi"/>
          <w:color w:val="222222"/>
          <w:sz w:val="24"/>
          <w:szCs w:val="24"/>
          <w:shd w:val="clear" w:color="auto" w:fill="FFFFFF"/>
        </w:rPr>
        <w:t>ecosystem:</w:t>
      </w:r>
      <w:proofErr w:type="gramEnd"/>
      <w:r w:rsidRPr="00DD1453">
        <w:rPr>
          <w:rFonts w:asciiTheme="majorBidi" w:hAnsiTheme="majorBidi" w:cstheme="majorBidi"/>
          <w:color w:val="222222"/>
          <w:sz w:val="24"/>
          <w:szCs w:val="24"/>
          <w:shd w:val="clear" w:color="auto" w:fill="FFFFFF"/>
        </w:rPr>
        <w:t xml:space="preserve"> Towards effectively “harnessing” Silicon Valley. </w:t>
      </w:r>
      <w:r w:rsidRPr="00DD1453">
        <w:rPr>
          <w:rFonts w:asciiTheme="majorBidi" w:hAnsiTheme="majorBidi" w:cstheme="majorBidi"/>
          <w:i/>
          <w:iCs/>
          <w:color w:val="222222"/>
          <w:sz w:val="24"/>
          <w:szCs w:val="24"/>
          <w:shd w:val="clear" w:color="auto" w:fill="FFFFFF"/>
        </w:rPr>
        <w:t>Report submitted to the Stanford Silicon Valley-New Japan (SV-NJ) Project</w:t>
      </w:r>
      <w:r w:rsidRPr="00DD1453">
        <w:rPr>
          <w:rFonts w:asciiTheme="majorBidi" w:hAnsiTheme="majorBidi" w:cstheme="majorBidi"/>
          <w:color w:val="222222"/>
          <w:sz w:val="24"/>
          <w:szCs w:val="24"/>
          <w:shd w:val="clear" w:color="auto" w:fill="FFFFFF"/>
        </w:rPr>
        <w:t>.</w:t>
      </w:r>
    </w:p>
    <w:p w14:paraId="735B4CC7"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Lau, K. W., Lee, P. Y., &amp; Chung, Y. Y. (2019). A collective organizational learning model for organizational development. </w:t>
      </w:r>
      <w:r w:rsidRPr="00DD1453">
        <w:rPr>
          <w:rFonts w:asciiTheme="majorBidi" w:hAnsiTheme="majorBidi" w:cstheme="majorBidi"/>
          <w:i/>
          <w:iCs/>
          <w:color w:val="222222"/>
          <w:sz w:val="24"/>
          <w:szCs w:val="24"/>
          <w:shd w:val="clear" w:color="auto" w:fill="FFFFFF"/>
        </w:rPr>
        <w:t>Leadership &amp; Organization Development Journal</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40</w:t>
      </w:r>
      <w:r w:rsidRPr="00DD1453">
        <w:rPr>
          <w:rFonts w:asciiTheme="majorBidi" w:hAnsiTheme="majorBidi" w:cstheme="majorBidi"/>
          <w:color w:val="222222"/>
          <w:sz w:val="24"/>
          <w:szCs w:val="24"/>
          <w:shd w:val="clear" w:color="auto" w:fill="FFFFFF"/>
        </w:rPr>
        <w:t>(1), 107-123.</w:t>
      </w:r>
    </w:p>
    <w:p w14:paraId="109D58D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Machlup, F. (2014). </w:t>
      </w:r>
      <w:proofErr w:type="gramStart"/>
      <w:r w:rsidRPr="00DD1453">
        <w:rPr>
          <w:rFonts w:asciiTheme="majorBidi" w:hAnsiTheme="majorBidi" w:cstheme="majorBidi"/>
          <w:color w:val="222222"/>
          <w:sz w:val="24"/>
          <w:szCs w:val="24"/>
          <w:shd w:val="clear" w:color="auto" w:fill="FFFFFF"/>
        </w:rPr>
        <w:t>Knowledge:</w:t>
      </w:r>
      <w:proofErr w:type="gramEnd"/>
      <w:r w:rsidRPr="00DD1453">
        <w:rPr>
          <w:rFonts w:asciiTheme="majorBidi" w:hAnsiTheme="majorBidi" w:cstheme="majorBidi"/>
          <w:color w:val="222222"/>
          <w:sz w:val="24"/>
          <w:szCs w:val="24"/>
          <w:shd w:val="clear" w:color="auto" w:fill="FFFFFF"/>
        </w:rPr>
        <w:t xml:space="preserve"> Its Creation, Distribution and Economic significance: Knowledge and Knowledge Production.</w:t>
      </w:r>
    </w:p>
    <w:p w14:paraId="7F66155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Maket, L., &amp; Korir, M. (2017). Resource </w:t>
      </w:r>
      <w:proofErr w:type="gramStart"/>
      <w:r w:rsidRPr="00DD1453">
        <w:rPr>
          <w:rFonts w:asciiTheme="majorBidi" w:hAnsiTheme="majorBidi" w:cstheme="majorBidi"/>
          <w:color w:val="222222"/>
          <w:sz w:val="24"/>
          <w:szCs w:val="24"/>
          <w:shd w:val="clear" w:color="auto" w:fill="FFFFFF"/>
        </w:rPr>
        <w:t>inimitability:</w:t>
      </w:r>
      <w:proofErr w:type="gramEnd"/>
      <w:r w:rsidRPr="00DD1453">
        <w:rPr>
          <w:rFonts w:asciiTheme="majorBidi" w:hAnsiTheme="majorBidi" w:cstheme="majorBidi"/>
          <w:color w:val="222222"/>
          <w:sz w:val="24"/>
          <w:szCs w:val="24"/>
          <w:shd w:val="clear" w:color="auto" w:fill="FFFFFF"/>
        </w:rPr>
        <w:t xml:space="preserve"> the strategic resource characteristic for sustainable competitiveness in universities. </w:t>
      </w:r>
      <w:r w:rsidRPr="00DD1453">
        <w:rPr>
          <w:rFonts w:asciiTheme="majorBidi" w:hAnsiTheme="majorBidi" w:cstheme="majorBidi"/>
          <w:i/>
          <w:iCs/>
          <w:color w:val="222222"/>
          <w:sz w:val="24"/>
          <w:szCs w:val="24"/>
          <w:shd w:val="clear" w:color="auto" w:fill="FFFFFF"/>
        </w:rPr>
        <w:t>European Journal of Business and Innovation Research</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w:t>
      </w:r>
      <w:r w:rsidRPr="00DD1453">
        <w:rPr>
          <w:rFonts w:asciiTheme="majorBidi" w:hAnsiTheme="majorBidi" w:cstheme="majorBidi"/>
          <w:color w:val="222222"/>
          <w:sz w:val="24"/>
          <w:szCs w:val="24"/>
          <w:shd w:val="clear" w:color="auto" w:fill="FFFFFF"/>
        </w:rPr>
        <w:t>(1), 67-82.</w:t>
      </w:r>
    </w:p>
    <w:p w14:paraId="0A4D46E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Mejri, I., &amp; Véry, P. (2022). Chapitre 10. Influence de l’environnement institutionnel sur l’internationalisation des PME technologiques issues d’une économie émergente. In </w:t>
      </w:r>
      <w:proofErr w:type="gramStart"/>
      <w:r w:rsidRPr="00DD1453">
        <w:rPr>
          <w:rFonts w:asciiTheme="majorBidi" w:hAnsiTheme="majorBidi" w:cstheme="majorBidi"/>
          <w:i/>
          <w:iCs/>
          <w:color w:val="222222"/>
          <w:sz w:val="24"/>
          <w:szCs w:val="24"/>
          <w:shd w:val="clear" w:color="auto" w:fill="FFFFFF"/>
        </w:rPr>
        <w:t>Internationalisation:</w:t>
      </w:r>
      <w:proofErr w:type="gramEnd"/>
      <w:r w:rsidRPr="00DD1453">
        <w:rPr>
          <w:rFonts w:asciiTheme="majorBidi" w:hAnsiTheme="majorBidi" w:cstheme="majorBidi"/>
          <w:i/>
          <w:iCs/>
          <w:color w:val="222222"/>
          <w:sz w:val="24"/>
          <w:szCs w:val="24"/>
          <w:shd w:val="clear" w:color="auto" w:fill="FFFFFF"/>
        </w:rPr>
        <w:t xml:space="preserve"> la mobilisation des ressources immatérielles</w:t>
      </w:r>
      <w:r w:rsidRPr="00DD1453">
        <w:rPr>
          <w:rFonts w:asciiTheme="majorBidi" w:hAnsiTheme="majorBidi" w:cstheme="majorBidi"/>
          <w:color w:val="222222"/>
          <w:sz w:val="24"/>
          <w:szCs w:val="24"/>
          <w:shd w:val="clear" w:color="auto" w:fill="FFFFFF"/>
        </w:rPr>
        <w:t> (pp. 211-236). Vuibert.</w:t>
      </w:r>
    </w:p>
    <w:p w14:paraId="51A6E569"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lastRenderedPageBreak/>
        <w:t xml:space="preserve">Mention, A. L. (2012). Intellectual capital, innovation and </w:t>
      </w:r>
      <w:proofErr w:type="gramStart"/>
      <w:r w:rsidRPr="00DD1453">
        <w:rPr>
          <w:rFonts w:asciiTheme="majorBidi" w:hAnsiTheme="majorBidi" w:cstheme="majorBidi"/>
          <w:color w:val="222222"/>
          <w:sz w:val="24"/>
          <w:szCs w:val="24"/>
          <w:shd w:val="clear" w:color="auto" w:fill="FFFFFF"/>
        </w:rPr>
        <w:t>performance:</w:t>
      </w:r>
      <w:proofErr w:type="gramEnd"/>
      <w:r w:rsidRPr="00DD1453">
        <w:rPr>
          <w:rFonts w:asciiTheme="majorBidi" w:hAnsiTheme="majorBidi" w:cstheme="majorBidi"/>
          <w:color w:val="222222"/>
          <w:sz w:val="24"/>
          <w:szCs w:val="24"/>
          <w:shd w:val="clear" w:color="auto" w:fill="FFFFFF"/>
        </w:rPr>
        <w:t xml:space="preserve"> A systematic review of the literature. </w:t>
      </w:r>
      <w:r w:rsidRPr="00DD1453">
        <w:rPr>
          <w:rFonts w:asciiTheme="majorBidi" w:hAnsiTheme="majorBidi" w:cstheme="majorBidi"/>
          <w:i/>
          <w:iCs/>
          <w:color w:val="222222"/>
          <w:sz w:val="24"/>
          <w:szCs w:val="24"/>
          <w:shd w:val="clear" w:color="auto" w:fill="FFFFFF"/>
        </w:rPr>
        <w:t>Business and Economic Research</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w:t>
      </w:r>
      <w:r w:rsidRPr="00DD1453">
        <w:rPr>
          <w:rFonts w:asciiTheme="majorBidi" w:hAnsiTheme="majorBidi" w:cstheme="majorBidi"/>
          <w:color w:val="222222"/>
          <w:sz w:val="24"/>
          <w:szCs w:val="24"/>
          <w:shd w:val="clear" w:color="auto" w:fill="FFFFFF"/>
        </w:rPr>
        <w:t>(1).</w:t>
      </w:r>
    </w:p>
    <w:p w14:paraId="0ABBDBE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Meredith, J. R., Shafer, S. M., &amp; Mantel Jr, S. J. (2017). </w:t>
      </w:r>
      <w:r w:rsidRPr="00DD1453">
        <w:rPr>
          <w:rFonts w:asciiTheme="majorBidi" w:hAnsiTheme="majorBidi" w:cstheme="majorBidi"/>
          <w:i/>
          <w:iCs/>
          <w:color w:val="222222"/>
          <w:sz w:val="24"/>
          <w:szCs w:val="24"/>
          <w:shd w:val="clear" w:color="auto" w:fill="FFFFFF"/>
        </w:rPr>
        <w:t xml:space="preserve">Project </w:t>
      </w:r>
      <w:proofErr w:type="gramStart"/>
      <w:r w:rsidRPr="00DD1453">
        <w:rPr>
          <w:rFonts w:asciiTheme="majorBidi" w:hAnsiTheme="majorBidi" w:cstheme="majorBidi"/>
          <w:i/>
          <w:iCs/>
          <w:color w:val="222222"/>
          <w:sz w:val="24"/>
          <w:szCs w:val="24"/>
          <w:shd w:val="clear" w:color="auto" w:fill="FFFFFF"/>
        </w:rPr>
        <w:t>management:</w:t>
      </w:r>
      <w:proofErr w:type="gramEnd"/>
      <w:r w:rsidRPr="00DD1453">
        <w:rPr>
          <w:rFonts w:asciiTheme="majorBidi" w:hAnsiTheme="majorBidi" w:cstheme="majorBidi"/>
          <w:i/>
          <w:iCs/>
          <w:color w:val="222222"/>
          <w:sz w:val="24"/>
          <w:szCs w:val="24"/>
          <w:shd w:val="clear" w:color="auto" w:fill="FFFFFF"/>
        </w:rPr>
        <w:t xml:space="preserve"> a strategic managerial approach</w:t>
      </w:r>
      <w:r w:rsidRPr="00DD1453">
        <w:rPr>
          <w:rFonts w:asciiTheme="majorBidi" w:hAnsiTheme="majorBidi" w:cstheme="majorBidi"/>
          <w:color w:val="222222"/>
          <w:sz w:val="24"/>
          <w:szCs w:val="24"/>
          <w:shd w:val="clear" w:color="auto" w:fill="FFFFFF"/>
        </w:rPr>
        <w:t>. John Wiley &amp; Sons.</w:t>
      </w:r>
    </w:p>
    <w:p w14:paraId="63EF7F2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Miller, T. R., Muñoz‐Erickson, T., &amp; Redman, C. L. (2011). Transforming knowledge for </w:t>
      </w:r>
      <w:proofErr w:type="gramStart"/>
      <w:r w:rsidRPr="00DD1453">
        <w:rPr>
          <w:rFonts w:asciiTheme="majorBidi" w:hAnsiTheme="majorBidi" w:cstheme="majorBidi"/>
          <w:color w:val="222222"/>
          <w:sz w:val="24"/>
          <w:szCs w:val="24"/>
          <w:shd w:val="clear" w:color="auto" w:fill="FFFFFF"/>
        </w:rPr>
        <w:t>sustainability:</w:t>
      </w:r>
      <w:proofErr w:type="gramEnd"/>
      <w:r w:rsidRPr="00DD1453">
        <w:rPr>
          <w:rFonts w:asciiTheme="majorBidi" w:hAnsiTheme="majorBidi" w:cstheme="majorBidi"/>
          <w:color w:val="222222"/>
          <w:sz w:val="24"/>
          <w:szCs w:val="24"/>
          <w:shd w:val="clear" w:color="auto" w:fill="FFFFFF"/>
        </w:rPr>
        <w:t xml:space="preserve"> towards adaptive academic institutions. </w:t>
      </w:r>
      <w:r w:rsidRPr="00DD1453">
        <w:rPr>
          <w:rFonts w:asciiTheme="majorBidi" w:hAnsiTheme="majorBidi" w:cstheme="majorBidi"/>
          <w:i/>
          <w:iCs/>
          <w:color w:val="222222"/>
          <w:sz w:val="24"/>
          <w:szCs w:val="24"/>
          <w:shd w:val="clear" w:color="auto" w:fill="FFFFFF"/>
        </w:rPr>
        <w:t>International Journal of Sustainability in Higher Education</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12</w:t>
      </w:r>
      <w:r w:rsidRPr="00DD1453">
        <w:rPr>
          <w:rFonts w:asciiTheme="majorBidi" w:hAnsiTheme="majorBidi" w:cstheme="majorBidi"/>
          <w:color w:val="222222"/>
          <w:sz w:val="24"/>
          <w:szCs w:val="24"/>
          <w:shd w:val="clear" w:color="auto" w:fill="FFFFFF"/>
        </w:rPr>
        <w:t>(2), 177-192.</w:t>
      </w:r>
    </w:p>
    <w:p w14:paraId="75ED3C3A"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Mohajan, H. (2016). Knowledge is an essential element at present world.</w:t>
      </w:r>
    </w:p>
    <w:p w14:paraId="292C671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Morandini, S., Fraboni, F., De Angelis, M., Puzzo, G., Giusino, D., &amp; Pietrantoni, L. (2023). The impact of artificial intelligence on workers’ </w:t>
      </w:r>
      <w:proofErr w:type="gramStart"/>
      <w:r w:rsidRPr="00DD1453">
        <w:rPr>
          <w:rFonts w:asciiTheme="majorBidi" w:hAnsiTheme="majorBidi" w:cstheme="majorBidi"/>
          <w:color w:val="222222"/>
          <w:sz w:val="24"/>
          <w:szCs w:val="24"/>
          <w:shd w:val="clear" w:color="auto" w:fill="FFFFFF"/>
        </w:rPr>
        <w:t>skills:</w:t>
      </w:r>
      <w:proofErr w:type="gramEnd"/>
      <w:r w:rsidRPr="00DD1453">
        <w:rPr>
          <w:rFonts w:asciiTheme="majorBidi" w:hAnsiTheme="majorBidi" w:cstheme="majorBidi"/>
          <w:color w:val="222222"/>
          <w:sz w:val="24"/>
          <w:szCs w:val="24"/>
          <w:shd w:val="clear" w:color="auto" w:fill="FFFFFF"/>
        </w:rPr>
        <w:t xml:space="preserve"> Upskilling and reskilling in organisations. </w:t>
      </w:r>
      <w:r w:rsidRPr="00DD1453">
        <w:rPr>
          <w:rFonts w:asciiTheme="majorBidi" w:hAnsiTheme="majorBidi" w:cstheme="majorBidi"/>
          <w:i/>
          <w:iCs/>
          <w:color w:val="222222"/>
          <w:sz w:val="24"/>
          <w:szCs w:val="24"/>
          <w:shd w:val="clear" w:color="auto" w:fill="FFFFFF"/>
        </w:rPr>
        <w:t>Informing Science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26</w:t>
      </w:r>
      <w:r w:rsidRPr="00DD1453">
        <w:rPr>
          <w:rFonts w:asciiTheme="majorBidi" w:hAnsiTheme="majorBidi" w:cstheme="majorBidi"/>
          <w:color w:val="222222"/>
          <w:sz w:val="24"/>
          <w:szCs w:val="24"/>
          <w:shd w:val="clear" w:color="auto" w:fill="FFFFFF"/>
        </w:rPr>
        <w:t>, 39-68.</w:t>
      </w:r>
    </w:p>
    <w:p w14:paraId="277BDE75"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Mýtna Kureková, L., Beblavý, M., Haita, C., &amp; Thum, A. E. (2016). Employers’ skill preferences across </w:t>
      </w:r>
      <w:proofErr w:type="gramStart"/>
      <w:r w:rsidRPr="00DD1453">
        <w:rPr>
          <w:rFonts w:asciiTheme="majorBidi" w:hAnsiTheme="majorBidi" w:cstheme="majorBidi"/>
          <w:color w:val="222222"/>
          <w:sz w:val="24"/>
          <w:szCs w:val="24"/>
          <w:shd w:val="clear" w:color="auto" w:fill="FFFFFF"/>
        </w:rPr>
        <w:t>Europe:</w:t>
      </w:r>
      <w:proofErr w:type="gramEnd"/>
      <w:r w:rsidRPr="00DD1453">
        <w:rPr>
          <w:rFonts w:asciiTheme="majorBidi" w:hAnsiTheme="majorBidi" w:cstheme="majorBidi"/>
          <w:color w:val="222222"/>
          <w:sz w:val="24"/>
          <w:szCs w:val="24"/>
          <w:shd w:val="clear" w:color="auto" w:fill="FFFFFF"/>
        </w:rPr>
        <w:t xml:space="preserve"> Between cognitive and non-cognitive skills. </w:t>
      </w:r>
      <w:r w:rsidRPr="00DD1453">
        <w:rPr>
          <w:rFonts w:asciiTheme="majorBidi" w:hAnsiTheme="majorBidi" w:cstheme="majorBidi"/>
          <w:i/>
          <w:iCs/>
          <w:color w:val="222222"/>
          <w:sz w:val="24"/>
          <w:szCs w:val="24"/>
          <w:shd w:val="clear" w:color="auto" w:fill="FFFFFF"/>
        </w:rPr>
        <w:t>Journal of Education and Work</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29</w:t>
      </w:r>
      <w:r w:rsidRPr="00DD1453">
        <w:rPr>
          <w:rFonts w:asciiTheme="majorBidi" w:hAnsiTheme="majorBidi" w:cstheme="majorBidi"/>
          <w:color w:val="222222"/>
          <w:sz w:val="24"/>
          <w:szCs w:val="24"/>
          <w:shd w:val="clear" w:color="auto" w:fill="FFFFFF"/>
        </w:rPr>
        <w:t>(6), 662-687.</w:t>
      </w:r>
    </w:p>
    <w:p w14:paraId="56120711"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Nonaka, I., &amp; Takeuchi, H. (2012). </w:t>
      </w:r>
      <w:r w:rsidRPr="00DD1453">
        <w:rPr>
          <w:rFonts w:asciiTheme="majorBidi" w:hAnsiTheme="majorBidi" w:cstheme="majorBidi"/>
          <w:i/>
          <w:iCs/>
          <w:color w:val="222222"/>
          <w:sz w:val="24"/>
          <w:szCs w:val="24"/>
          <w:shd w:val="clear" w:color="auto" w:fill="FFFFFF"/>
        </w:rPr>
        <w:t xml:space="preserve">Die Organisation des </w:t>
      </w:r>
      <w:proofErr w:type="gramStart"/>
      <w:r w:rsidRPr="00DD1453">
        <w:rPr>
          <w:rFonts w:asciiTheme="majorBidi" w:hAnsiTheme="majorBidi" w:cstheme="majorBidi"/>
          <w:i/>
          <w:iCs/>
          <w:color w:val="222222"/>
          <w:sz w:val="24"/>
          <w:szCs w:val="24"/>
          <w:shd w:val="clear" w:color="auto" w:fill="FFFFFF"/>
        </w:rPr>
        <w:t>Wissens:</w:t>
      </w:r>
      <w:proofErr w:type="gramEnd"/>
      <w:r w:rsidRPr="00DD1453">
        <w:rPr>
          <w:rFonts w:asciiTheme="majorBidi" w:hAnsiTheme="majorBidi" w:cstheme="majorBidi"/>
          <w:i/>
          <w:iCs/>
          <w:color w:val="222222"/>
          <w:sz w:val="24"/>
          <w:szCs w:val="24"/>
          <w:shd w:val="clear" w:color="auto" w:fill="FFFFFF"/>
        </w:rPr>
        <w:t xml:space="preserve"> Wie japanische Unternehmen eine brachliegende Ressource nutzbar machen</w:t>
      </w:r>
      <w:r w:rsidRPr="00DD1453">
        <w:rPr>
          <w:rFonts w:asciiTheme="majorBidi" w:hAnsiTheme="majorBidi" w:cstheme="majorBidi"/>
          <w:color w:val="222222"/>
          <w:sz w:val="24"/>
          <w:szCs w:val="24"/>
          <w:shd w:val="clear" w:color="auto" w:fill="FFFFFF"/>
        </w:rPr>
        <w:t>. Campus Verlag.</w:t>
      </w:r>
    </w:p>
    <w:p w14:paraId="0CA60BD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Nonaka, I., &amp; Takeuchi, H. (2021). Humanizing strategy. </w:t>
      </w:r>
      <w:r w:rsidRPr="00DD1453">
        <w:rPr>
          <w:rFonts w:asciiTheme="majorBidi" w:hAnsiTheme="majorBidi" w:cstheme="majorBidi"/>
          <w:i/>
          <w:iCs/>
          <w:color w:val="222222"/>
          <w:sz w:val="24"/>
          <w:szCs w:val="24"/>
          <w:shd w:val="clear" w:color="auto" w:fill="FFFFFF"/>
        </w:rPr>
        <w:t>Long Range Planning</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54</w:t>
      </w:r>
      <w:r w:rsidRPr="00DD1453">
        <w:rPr>
          <w:rFonts w:asciiTheme="majorBidi" w:hAnsiTheme="majorBidi" w:cstheme="majorBidi"/>
          <w:color w:val="222222"/>
          <w:sz w:val="24"/>
          <w:szCs w:val="24"/>
          <w:shd w:val="clear" w:color="auto" w:fill="FFFFFF"/>
        </w:rPr>
        <w:t>(4), 102070.</w:t>
      </w:r>
    </w:p>
    <w:p w14:paraId="592109D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Nyamrunda, F. C., &amp; Freeman, S. (2021). Strategic agility, dynamic relational capability and trust among SMEs in transitional economies. </w:t>
      </w:r>
      <w:r w:rsidRPr="00DD1453">
        <w:rPr>
          <w:rFonts w:asciiTheme="majorBidi" w:hAnsiTheme="majorBidi" w:cstheme="majorBidi"/>
          <w:i/>
          <w:iCs/>
          <w:color w:val="222222"/>
          <w:sz w:val="24"/>
          <w:szCs w:val="24"/>
          <w:shd w:val="clear" w:color="auto" w:fill="FFFFFF"/>
        </w:rPr>
        <w:t>Journal of World Business</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56</w:t>
      </w:r>
      <w:r w:rsidRPr="00DD1453">
        <w:rPr>
          <w:rFonts w:asciiTheme="majorBidi" w:hAnsiTheme="majorBidi" w:cstheme="majorBidi"/>
          <w:color w:val="222222"/>
          <w:sz w:val="24"/>
          <w:szCs w:val="24"/>
          <w:shd w:val="clear" w:color="auto" w:fill="FFFFFF"/>
        </w:rPr>
        <w:t>(3), 101175.</w:t>
      </w:r>
    </w:p>
    <w:p w14:paraId="6382D1D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Omotayo, F. O. (2015). Knowledge Management as an important tool in Organisational </w:t>
      </w:r>
      <w:proofErr w:type="gramStart"/>
      <w:r w:rsidRPr="00DD1453">
        <w:rPr>
          <w:rFonts w:asciiTheme="majorBidi" w:hAnsiTheme="majorBidi" w:cstheme="majorBidi"/>
          <w:color w:val="222222"/>
          <w:sz w:val="24"/>
          <w:szCs w:val="24"/>
          <w:shd w:val="clear" w:color="auto" w:fill="FFFFFF"/>
        </w:rPr>
        <w:t>Management:</w:t>
      </w:r>
      <w:proofErr w:type="gramEnd"/>
      <w:r w:rsidRPr="00DD1453">
        <w:rPr>
          <w:rFonts w:asciiTheme="majorBidi" w:hAnsiTheme="majorBidi" w:cstheme="majorBidi"/>
          <w:color w:val="222222"/>
          <w:sz w:val="24"/>
          <w:szCs w:val="24"/>
          <w:shd w:val="clear" w:color="auto" w:fill="FFFFFF"/>
        </w:rPr>
        <w:t xml:space="preserve"> A Review of Literature. </w:t>
      </w:r>
      <w:r w:rsidRPr="00DD1453">
        <w:rPr>
          <w:rFonts w:asciiTheme="majorBidi" w:hAnsiTheme="majorBidi" w:cstheme="majorBidi"/>
          <w:i/>
          <w:iCs/>
          <w:color w:val="222222"/>
          <w:sz w:val="24"/>
          <w:szCs w:val="24"/>
          <w:shd w:val="clear" w:color="auto" w:fill="FFFFFF"/>
        </w:rPr>
        <w:t>Library Philosophy and Practice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w:t>
      </w:r>
      <w:r w:rsidRPr="00DD1453">
        <w:rPr>
          <w:rFonts w:asciiTheme="majorBidi" w:hAnsiTheme="majorBidi" w:cstheme="majorBidi"/>
          <w:color w:val="222222"/>
          <w:sz w:val="24"/>
          <w:szCs w:val="24"/>
          <w:shd w:val="clear" w:color="auto" w:fill="FFFFFF"/>
        </w:rPr>
        <w:t>(2015), 1-23.</w:t>
      </w:r>
    </w:p>
    <w:p w14:paraId="2CBA3945"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Ornston, D. (2012). </w:t>
      </w:r>
      <w:r w:rsidRPr="00DD1453">
        <w:rPr>
          <w:rFonts w:asciiTheme="majorBidi" w:hAnsiTheme="majorBidi" w:cstheme="majorBidi"/>
          <w:i/>
          <w:iCs/>
          <w:color w:val="222222"/>
          <w:sz w:val="24"/>
          <w:szCs w:val="24"/>
          <w:shd w:val="clear" w:color="auto" w:fill="FFFFFF"/>
        </w:rPr>
        <w:t xml:space="preserve">When small states make big </w:t>
      </w:r>
      <w:proofErr w:type="gramStart"/>
      <w:r w:rsidRPr="00DD1453">
        <w:rPr>
          <w:rFonts w:asciiTheme="majorBidi" w:hAnsiTheme="majorBidi" w:cstheme="majorBidi"/>
          <w:i/>
          <w:iCs/>
          <w:color w:val="222222"/>
          <w:sz w:val="24"/>
          <w:szCs w:val="24"/>
          <w:shd w:val="clear" w:color="auto" w:fill="FFFFFF"/>
        </w:rPr>
        <w:t>leaps:</w:t>
      </w:r>
      <w:proofErr w:type="gramEnd"/>
      <w:r w:rsidRPr="00DD1453">
        <w:rPr>
          <w:rFonts w:asciiTheme="majorBidi" w:hAnsiTheme="majorBidi" w:cstheme="majorBidi"/>
          <w:i/>
          <w:iCs/>
          <w:color w:val="222222"/>
          <w:sz w:val="24"/>
          <w:szCs w:val="24"/>
          <w:shd w:val="clear" w:color="auto" w:fill="FFFFFF"/>
        </w:rPr>
        <w:t xml:space="preserve"> Institutional innovation and high-tech competition in Western Europe</w:t>
      </w:r>
      <w:r w:rsidRPr="00DD1453">
        <w:rPr>
          <w:rFonts w:asciiTheme="majorBidi" w:hAnsiTheme="majorBidi" w:cstheme="majorBidi"/>
          <w:color w:val="222222"/>
          <w:sz w:val="24"/>
          <w:szCs w:val="24"/>
          <w:shd w:val="clear" w:color="auto" w:fill="FFFFFF"/>
        </w:rPr>
        <w:t>. Cornell University Press.</w:t>
      </w:r>
    </w:p>
    <w:p w14:paraId="7F33DD0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Osmundsen, K. (2020). Competences for digital </w:t>
      </w:r>
      <w:proofErr w:type="gramStart"/>
      <w:r w:rsidRPr="00DD1453">
        <w:rPr>
          <w:rFonts w:asciiTheme="majorBidi" w:hAnsiTheme="majorBidi" w:cstheme="majorBidi"/>
          <w:color w:val="222222"/>
          <w:sz w:val="24"/>
          <w:szCs w:val="24"/>
          <w:shd w:val="clear" w:color="auto" w:fill="FFFFFF"/>
        </w:rPr>
        <w:t>transformation:</w:t>
      </w:r>
      <w:proofErr w:type="gramEnd"/>
      <w:r w:rsidRPr="00DD1453">
        <w:rPr>
          <w:rFonts w:asciiTheme="majorBidi" w:hAnsiTheme="majorBidi" w:cstheme="majorBidi"/>
          <w:color w:val="222222"/>
          <w:sz w:val="24"/>
          <w:szCs w:val="24"/>
          <w:shd w:val="clear" w:color="auto" w:fill="FFFFFF"/>
        </w:rPr>
        <w:t xml:space="preserve"> insights from the Norwegian energy sector.</w:t>
      </w:r>
    </w:p>
    <w:p w14:paraId="03B4963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Pattanayak, B. (2020). </w:t>
      </w:r>
      <w:r w:rsidRPr="00DD1453">
        <w:rPr>
          <w:rFonts w:asciiTheme="majorBidi" w:hAnsiTheme="majorBidi" w:cstheme="majorBidi"/>
          <w:i/>
          <w:iCs/>
          <w:color w:val="222222"/>
          <w:sz w:val="24"/>
          <w:szCs w:val="24"/>
          <w:shd w:val="clear" w:color="auto" w:fill="FFFFFF"/>
        </w:rPr>
        <w:t>Human resource management</w:t>
      </w:r>
      <w:r w:rsidRPr="00DD1453">
        <w:rPr>
          <w:rFonts w:asciiTheme="majorBidi" w:hAnsiTheme="majorBidi" w:cstheme="majorBidi"/>
          <w:color w:val="222222"/>
          <w:sz w:val="24"/>
          <w:szCs w:val="24"/>
          <w:shd w:val="clear" w:color="auto" w:fill="FFFFFF"/>
        </w:rPr>
        <w:t xml:space="preserve">. PHI Learning Pvt. </w:t>
      </w:r>
      <w:proofErr w:type="gramStart"/>
      <w:r w:rsidRPr="00DD1453">
        <w:rPr>
          <w:rFonts w:asciiTheme="majorBidi" w:hAnsiTheme="majorBidi" w:cstheme="majorBidi"/>
          <w:color w:val="222222"/>
          <w:sz w:val="24"/>
          <w:szCs w:val="24"/>
          <w:shd w:val="clear" w:color="auto" w:fill="FFFFFF"/>
        </w:rPr>
        <w:t>Ltd..</w:t>
      </w:r>
      <w:proofErr w:type="gramEnd"/>
    </w:p>
    <w:p w14:paraId="41F388E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Pereira, M. T. (2023). The relations between the thought of Hannah Arendt, Leonardo Boff, Max Scheler and Edgar Morin in order to Combat Oppression, The Banality of Evil and Promote Human Emancipation. </w:t>
      </w:r>
      <w:r w:rsidRPr="00DD1453">
        <w:rPr>
          <w:rFonts w:asciiTheme="majorBidi" w:hAnsiTheme="majorBidi" w:cstheme="majorBidi"/>
          <w:i/>
          <w:iCs/>
          <w:color w:val="222222"/>
          <w:sz w:val="24"/>
          <w:szCs w:val="24"/>
          <w:shd w:val="clear" w:color="auto" w:fill="FFFFFF"/>
        </w:rPr>
        <w:t>Seven Editora</w:t>
      </w:r>
      <w:r w:rsidRPr="00DD1453">
        <w:rPr>
          <w:rFonts w:asciiTheme="majorBidi" w:hAnsiTheme="majorBidi" w:cstheme="majorBidi"/>
          <w:color w:val="222222"/>
          <w:sz w:val="24"/>
          <w:szCs w:val="24"/>
          <w:shd w:val="clear" w:color="auto" w:fill="FFFFFF"/>
        </w:rPr>
        <w:t>.</w:t>
      </w:r>
    </w:p>
    <w:p w14:paraId="36D90135"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Rice, J. (2015). Para-expertise, tacit knowledge, and writing problems. </w:t>
      </w:r>
      <w:r w:rsidRPr="00DD1453">
        <w:rPr>
          <w:rFonts w:asciiTheme="majorBidi" w:hAnsiTheme="majorBidi" w:cstheme="majorBidi"/>
          <w:i/>
          <w:iCs/>
          <w:color w:val="222222"/>
          <w:sz w:val="24"/>
          <w:szCs w:val="24"/>
          <w:shd w:val="clear" w:color="auto" w:fill="FFFFFF"/>
        </w:rPr>
        <w:t>College English</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78</w:t>
      </w:r>
      <w:r w:rsidRPr="00DD1453">
        <w:rPr>
          <w:rFonts w:asciiTheme="majorBidi" w:hAnsiTheme="majorBidi" w:cstheme="majorBidi"/>
          <w:color w:val="222222"/>
          <w:sz w:val="24"/>
          <w:szCs w:val="24"/>
          <w:shd w:val="clear" w:color="auto" w:fill="FFFFFF"/>
        </w:rPr>
        <w:t>(2), 117-138.</w:t>
      </w:r>
    </w:p>
    <w:p w14:paraId="3E101390"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Rodríguez-Sánchez, J. L., Montero-Navarro, A., &amp; Gallego-Losada, R. (2019). The opportunity presented by technological innovation to attract valuable human resources. </w:t>
      </w:r>
      <w:r w:rsidRPr="00DD1453">
        <w:rPr>
          <w:rFonts w:asciiTheme="majorBidi" w:hAnsiTheme="majorBidi" w:cstheme="majorBidi"/>
          <w:i/>
          <w:iCs/>
          <w:color w:val="222222"/>
          <w:sz w:val="24"/>
          <w:szCs w:val="24"/>
          <w:shd w:val="clear" w:color="auto" w:fill="FFFFFF"/>
        </w:rPr>
        <w:t>Sustainability</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11</w:t>
      </w:r>
      <w:r w:rsidRPr="00DD1453">
        <w:rPr>
          <w:rFonts w:asciiTheme="majorBidi" w:hAnsiTheme="majorBidi" w:cstheme="majorBidi"/>
          <w:color w:val="222222"/>
          <w:sz w:val="24"/>
          <w:szCs w:val="24"/>
          <w:shd w:val="clear" w:color="auto" w:fill="FFFFFF"/>
        </w:rPr>
        <w:t>(20), 5785.</w:t>
      </w:r>
    </w:p>
    <w:p w14:paraId="09CB55D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Rose, N., &amp; Miller, P. (2017). Political power beyond the </w:t>
      </w:r>
      <w:proofErr w:type="gramStart"/>
      <w:r w:rsidRPr="00DD1453">
        <w:rPr>
          <w:rFonts w:asciiTheme="majorBidi" w:hAnsiTheme="majorBidi" w:cstheme="majorBidi"/>
          <w:color w:val="222222"/>
          <w:sz w:val="24"/>
          <w:szCs w:val="24"/>
          <w:shd w:val="clear" w:color="auto" w:fill="FFFFFF"/>
        </w:rPr>
        <w:t>state:</w:t>
      </w:r>
      <w:proofErr w:type="gramEnd"/>
      <w:r w:rsidRPr="00DD1453">
        <w:rPr>
          <w:rFonts w:asciiTheme="majorBidi" w:hAnsiTheme="majorBidi" w:cstheme="majorBidi"/>
          <w:color w:val="222222"/>
          <w:sz w:val="24"/>
          <w:szCs w:val="24"/>
          <w:shd w:val="clear" w:color="auto" w:fill="FFFFFF"/>
        </w:rPr>
        <w:t xml:space="preserve"> Problematics of government. In </w:t>
      </w:r>
      <w:r w:rsidRPr="00DD1453">
        <w:rPr>
          <w:rFonts w:asciiTheme="majorBidi" w:hAnsiTheme="majorBidi" w:cstheme="majorBidi"/>
          <w:i/>
          <w:iCs/>
          <w:color w:val="222222"/>
          <w:sz w:val="24"/>
          <w:szCs w:val="24"/>
          <w:shd w:val="clear" w:color="auto" w:fill="FFFFFF"/>
        </w:rPr>
        <w:t>Foucault and law</w:t>
      </w:r>
      <w:r w:rsidRPr="00DD1453">
        <w:rPr>
          <w:rFonts w:asciiTheme="majorBidi" w:hAnsiTheme="majorBidi" w:cstheme="majorBidi"/>
          <w:color w:val="222222"/>
          <w:sz w:val="24"/>
          <w:szCs w:val="24"/>
          <w:shd w:val="clear" w:color="auto" w:fill="FFFFFF"/>
        </w:rPr>
        <w:t> (pp. 191-224). Routledge.</w:t>
      </w:r>
    </w:p>
    <w:p w14:paraId="58A869A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Schreier, M. (2018). Sampling and generalization. </w:t>
      </w:r>
      <w:r w:rsidRPr="00DD1453">
        <w:rPr>
          <w:rFonts w:asciiTheme="majorBidi" w:hAnsiTheme="majorBidi" w:cstheme="majorBidi"/>
          <w:i/>
          <w:iCs/>
          <w:color w:val="222222"/>
          <w:sz w:val="24"/>
          <w:szCs w:val="24"/>
          <w:shd w:val="clear" w:color="auto" w:fill="FFFFFF"/>
        </w:rPr>
        <w:t>The SAGE handbook of qualitative data collection</w:t>
      </w:r>
      <w:r w:rsidRPr="00DD1453">
        <w:rPr>
          <w:rFonts w:asciiTheme="majorBidi" w:hAnsiTheme="majorBidi" w:cstheme="majorBidi"/>
          <w:color w:val="222222"/>
          <w:sz w:val="24"/>
          <w:szCs w:val="24"/>
          <w:shd w:val="clear" w:color="auto" w:fill="FFFFFF"/>
        </w:rPr>
        <w:t>, 84-97.</w:t>
      </w:r>
    </w:p>
    <w:p w14:paraId="4FEAEC8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Schutte, N., Barkhuizen, N., &amp; Van der Sluis, L. (2016). The development of a human resource management (HRM) professional competence </w:t>
      </w:r>
      <w:proofErr w:type="gramStart"/>
      <w:r w:rsidRPr="00DD1453">
        <w:rPr>
          <w:rFonts w:asciiTheme="majorBidi" w:hAnsiTheme="majorBidi" w:cstheme="majorBidi"/>
          <w:color w:val="222222"/>
          <w:sz w:val="24"/>
          <w:szCs w:val="24"/>
          <w:shd w:val="clear" w:color="auto" w:fill="FFFFFF"/>
        </w:rPr>
        <w:t>model:</w:t>
      </w:r>
      <w:proofErr w:type="gramEnd"/>
      <w:r w:rsidRPr="00DD1453">
        <w:rPr>
          <w:rFonts w:asciiTheme="majorBidi" w:hAnsiTheme="majorBidi" w:cstheme="majorBidi"/>
          <w:color w:val="222222"/>
          <w:sz w:val="24"/>
          <w:szCs w:val="24"/>
          <w:shd w:val="clear" w:color="auto" w:fill="FFFFFF"/>
        </w:rPr>
        <w:t xml:space="preserve"> A pilot study. </w:t>
      </w:r>
      <w:r w:rsidRPr="00DD1453">
        <w:rPr>
          <w:rFonts w:asciiTheme="majorBidi" w:hAnsiTheme="majorBidi" w:cstheme="majorBidi"/>
          <w:i/>
          <w:iCs/>
          <w:color w:val="222222"/>
          <w:sz w:val="24"/>
          <w:szCs w:val="24"/>
          <w:shd w:val="clear" w:color="auto" w:fill="FFFFFF"/>
        </w:rPr>
        <w:t>Journal of Psychology in Africa</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26</w:t>
      </w:r>
      <w:r w:rsidRPr="00DD1453">
        <w:rPr>
          <w:rFonts w:asciiTheme="majorBidi" w:hAnsiTheme="majorBidi" w:cstheme="majorBidi"/>
          <w:color w:val="222222"/>
          <w:sz w:val="24"/>
          <w:szCs w:val="24"/>
          <w:shd w:val="clear" w:color="auto" w:fill="FFFFFF"/>
        </w:rPr>
        <w:t>(3), 230-236.</w:t>
      </w:r>
    </w:p>
    <w:p w14:paraId="02802F31"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Sekaran, U. (2016). Research methods for </w:t>
      </w:r>
      <w:proofErr w:type="gramStart"/>
      <w:r w:rsidRPr="00DD1453">
        <w:rPr>
          <w:rFonts w:asciiTheme="majorBidi" w:hAnsiTheme="majorBidi" w:cstheme="majorBidi"/>
          <w:color w:val="222222"/>
          <w:sz w:val="24"/>
          <w:szCs w:val="24"/>
          <w:shd w:val="clear" w:color="auto" w:fill="FFFFFF"/>
        </w:rPr>
        <w:t>business:</w:t>
      </w:r>
      <w:proofErr w:type="gramEnd"/>
      <w:r w:rsidRPr="00DD1453">
        <w:rPr>
          <w:rFonts w:asciiTheme="majorBidi" w:hAnsiTheme="majorBidi" w:cstheme="majorBidi"/>
          <w:color w:val="222222"/>
          <w:sz w:val="24"/>
          <w:szCs w:val="24"/>
          <w:shd w:val="clear" w:color="auto" w:fill="FFFFFF"/>
        </w:rPr>
        <w:t xml:space="preserve"> A skill building approach.</w:t>
      </w:r>
    </w:p>
    <w:p w14:paraId="0A9F16DD"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Simonovic, S. P. (2012). </w:t>
      </w:r>
      <w:r w:rsidRPr="00DD1453">
        <w:rPr>
          <w:rFonts w:asciiTheme="majorBidi" w:hAnsiTheme="majorBidi" w:cstheme="majorBidi"/>
          <w:i/>
          <w:iCs/>
          <w:color w:val="222222"/>
          <w:sz w:val="24"/>
          <w:szCs w:val="24"/>
          <w:shd w:val="clear" w:color="auto" w:fill="FFFFFF"/>
        </w:rPr>
        <w:t xml:space="preserve">Managing water </w:t>
      </w:r>
      <w:proofErr w:type="gramStart"/>
      <w:r w:rsidRPr="00DD1453">
        <w:rPr>
          <w:rFonts w:asciiTheme="majorBidi" w:hAnsiTheme="majorBidi" w:cstheme="majorBidi"/>
          <w:i/>
          <w:iCs/>
          <w:color w:val="222222"/>
          <w:sz w:val="24"/>
          <w:szCs w:val="24"/>
          <w:shd w:val="clear" w:color="auto" w:fill="FFFFFF"/>
        </w:rPr>
        <w:t>resources:</w:t>
      </w:r>
      <w:proofErr w:type="gramEnd"/>
      <w:r w:rsidRPr="00DD1453">
        <w:rPr>
          <w:rFonts w:asciiTheme="majorBidi" w:hAnsiTheme="majorBidi" w:cstheme="majorBidi"/>
          <w:i/>
          <w:iCs/>
          <w:color w:val="222222"/>
          <w:sz w:val="24"/>
          <w:szCs w:val="24"/>
          <w:shd w:val="clear" w:color="auto" w:fill="FFFFFF"/>
        </w:rPr>
        <w:t xml:space="preserve"> methods and tools for a systems approach</w:t>
      </w:r>
      <w:r w:rsidRPr="00DD1453">
        <w:rPr>
          <w:rFonts w:asciiTheme="majorBidi" w:hAnsiTheme="majorBidi" w:cstheme="majorBidi"/>
          <w:color w:val="222222"/>
          <w:sz w:val="24"/>
          <w:szCs w:val="24"/>
          <w:shd w:val="clear" w:color="auto" w:fill="FFFFFF"/>
        </w:rPr>
        <w:t>. Routledge.</w:t>
      </w:r>
    </w:p>
    <w:p w14:paraId="143CC846"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Small, C. T., &amp; Sage, A. P. (2006). Knowledge management and knowledge </w:t>
      </w:r>
      <w:proofErr w:type="gramStart"/>
      <w:r w:rsidRPr="00DD1453">
        <w:rPr>
          <w:rFonts w:asciiTheme="majorBidi" w:hAnsiTheme="majorBidi" w:cstheme="majorBidi"/>
          <w:color w:val="222222"/>
          <w:sz w:val="24"/>
          <w:szCs w:val="24"/>
          <w:shd w:val="clear" w:color="auto" w:fill="FFFFFF"/>
        </w:rPr>
        <w:t>sharing:</w:t>
      </w:r>
      <w:proofErr w:type="gramEnd"/>
      <w:r w:rsidRPr="00DD1453">
        <w:rPr>
          <w:rFonts w:asciiTheme="majorBidi" w:hAnsiTheme="majorBidi" w:cstheme="majorBidi"/>
          <w:color w:val="222222"/>
          <w:sz w:val="24"/>
          <w:szCs w:val="24"/>
          <w:shd w:val="clear" w:color="auto" w:fill="FFFFFF"/>
        </w:rPr>
        <w:t xml:space="preserve"> A review. </w:t>
      </w:r>
      <w:r w:rsidRPr="00DD1453">
        <w:rPr>
          <w:rFonts w:asciiTheme="majorBidi" w:hAnsiTheme="majorBidi" w:cstheme="majorBidi"/>
          <w:i/>
          <w:iCs/>
          <w:color w:val="222222"/>
          <w:sz w:val="24"/>
          <w:szCs w:val="24"/>
          <w:shd w:val="clear" w:color="auto" w:fill="FFFFFF"/>
        </w:rPr>
        <w:t>Information Knowledge systems management</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w:t>
      </w:r>
      <w:r w:rsidRPr="00DD1453">
        <w:rPr>
          <w:rFonts w:asciiTheme="majorBidi" w:hAnsiTheme="majorBidi" w:cstheme="majorBidi"/>
          <w:color w:val="222222"/>
          <w:sz w:val="24"/>
          <w:szCs w:val="24"/>
          <w:shd w:val="clear" w:color="auto" w:fill="FFFFFF"/>
        </w:rPr>
        <w:t>(3), 153-169.</w:t>
      </w:r>
    </w:p>
    <w:p w14:paraId="7ADBE16F"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Steiber, A., Alänge, S., Steiber, A., &amp; Alänge, S. (2016). </w:t>
      </w:r>
      <w:r w:rsidRPr="00DD1453">
        <w:rPr>
          <w:rFonts w:asciiTheme="majorBidi" w:hAnsiTheme="majorBidi" w:cstheme="majorBidi"/>
          <w:i/>
          <w:iCs/>
          <w:color w:val="222222"/>
          <w:sz w:val="24"/>
          <w:szCs w:val="24"/>
          <w:shd w:val="clear" w:color="auto" w:fill="FFFFFF"/>
        </w:rPr>
        <w:t>The silicon valley model</w:t>
      </w:r>
      <w:r w:rsidRPr="00DD1453">
        <w:rPr>
          <w:rFonts w:asciiTheme="majorBidi" w:hAnsiTheme="majorBidi" w:cstheme="majorBidi"/>
          <w:color w:val="222222"/>
          <w:sz w:val="24"/>
          <w:szCs w:val="24"/>
          <w:shd w:val="clear" w:color="auto" w:fill="FFFFFF"/>
        </w:rPr>
        <w:t> (pp. 143-155). Springer International Publishing.</w:t>
      </w:r>
    </w:p>
    <w:p w14:paraId="6064633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lastRenderedPageBreak/>
        <w:t xml:space="preserve">Sztangret, I. (2015). The client knowledge management on the IT </w:t>
      </w:r>
      <w:proofErr w:type="gramStart"/>
      <w:r w:rsidRPr="00DD1453">
        <w:rPr>
          <w:rFonts w:asciiTheme="majorBidi" w:hAnsiTheme="majorBidi" w:cstheme="majorBidi"/>
          <w:color w:val="222222"/>
          <w:sz w:val="24"/>
          <w:szCs w:val="24"/>
          <w:shd w:val="clear" w:color="auto" w:fill="FFFFFF"/>
        </w:rPr>
        <w:t>market.[</w:t>
      </w:r>
      <w:proofErr w:type="gramEnd"/>
      <w:r w:rsidRPr="00DD1453">
        <w:rPr>
          <w:rFonts w:asciiTheme="majorBidi" w:hAnsiTheme="majorBidi" w:cstheme="majorBidi"/>
          <w:color w:val="222222"/>
          <w:sz w:val="24"/>
          <w:szCs w:val="24"/>
          <w:shd w:val="clear" w:color="auto" w:fill="FFFFFF"/>
        </w:rPr>
        <w:t>In:] S. </w:t>
      </w:r>
      <w:r w:rsidRPr="00DD1453">
        <w:rPr>
          <w:rFonts w:asciiTheme="majorBidi" w:hAnsiTheme="majorBidi" w:cstheme="majorBidi"/>
          <w:i/>
          <w:iCs/>
          <w:color w:val="222222"/>
          <w:sz w:val="24"/>
          <w:szCs w:val="24"/>
          <w:shd w:val="clear" w:color="auto" w:fill="FFFFFF"/>
        </w:rPr>
        <w:t>Contemporary Management. Theoretical and Practical Aspects. University of Żylina, WSB Dąbrowa Górnicza</w:t>
      </w:r>
      <w:r w:rsidRPr="00DD1453">
        <w:rPr>
          <w:rFonts w:asciiTheme="majorBidi" w:hAnsiTheme="majorBidi" w:cstheme="majorBidi"/>
          <w:color w:val="222222"/>
          <w:sz w:val="24"/>
          <w:szCs w:val="24"/>
          <w:shd w:val="clear" w:color="auto" w:fill="FFFFFF"/>
        </w:rPr>
        <w:t>.</w:t>
      </w:r>
    </w:p>
    <w:p w14:paraId="063FD96E"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Teece, D. J. (2015). </w:t>
      </w:r>
      <w:r w:rsidRPr="00DD1453">
        <w:rPr>
          <w:rFonts w:asciiTheme="majorBidi" w:hAnsiTheme="majorBidi" w:cstheme="majorBidi"/>
          <w:i/>
          <w:iCs/>
          <w:color w:val="222222"/>
          <w:sz w:val="24"/>
          <w:szCs w:val="24"/>
          <w:shd w:val="clear" w:color="auto" w:fill="FFFFFF"/>
        </w:rPr>
        <w:t>Intangible assets and a theory of heterogeneous firms</w:t>
      </w:r>
      <w:r w:rsidRPr="00DD1453">
        <w:rPr>
          <w:rFonts w:asciiTheme="majorBidi" w:hAnsiTheme="majorBidi" w:cstheme="majorBidi"/>
          <w:color w:val="222222"/>
          <w:sz w:val="24"/>
          <w:szCs w:val="24"/>
          <w:shd w:val="clear" w:color="auto" w:fill="FFFFFF"/>
        </w:rPr>
        <w:t> (pp. 217-239). Springer International Publishing.</w:t>
      </w:r>
    </w:p>
    <w:p w14:paraId="5A850243"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Tovstiga, G. (2015). </w:t>
      </w:r>
      <w:r w:rsidRPr="00DD1453">
        <w:rPr>
          <w:rFonts w:asciiTheme="majorBidi" w:hAnsiTheme="majorBidi" w:cstheme="majorBidi"/>
          <w:i/>
          <w:iCs/>
          <w:color w:val="222222"/>
          <w:sz w:val="24"/>
          <w:szCs w:val="24"/>
          <w:shd w:val="clear" w:color="auto" w:fill="FFFFFF"/>
        </w:rPr>
        <w:t xml:space="preserve">Strategy in </w:t>
      </w:r>
      <w:proofErr w:type="gramStart"/>
      <w:r w:rsidRPr="00DD1453">
        <w:rPr>
          <w:rFonts w:asciiTheme="majorBidi" w:hAnsiTheme="majorBidi" w:cstheme="majorBidi"/>
          <w:i/>
          <w:iCs/>
          <w:color w:val="222222"/>
          <w:sz w:val="24"/>
          <w:szCs w:val="24"/>
          <w:shd w:val="clear" w:color="auto" w:fill="FFFFFF"/>
        </w:rPr>
        <w:t>practice:</w:t>
      </w:r>
      <w:proofErr w:type="gramEnd"/>
      <w:r w:rsidRPr="00DD1453">
        <w:rPr>
          <w:rFonts w:asciiTheme="majorBidi" w:hAnsiTheme="majorBidi" w:cstheme="majorBidi"/>
          <w:i/>
          <w:iCs/>
          <w:color w:val="222222"/>
          <w:sz w:val="24"/>
          <w:szCs w:val="24"/>
          <w:shd w:val="clear" w:color="auto" w:fill="FFFFFF"/>
        </w:rPr>
        <w:t xml:space="preserve"> A practitioner's guide to strategic thinking</w:t>
      </w:r>
      <w:r w:rsidRPr="00DD1453">
        <w:rPr>
          <w:rFonts w:asciiTheme="majorBidi" w:hAnsiTheme="majorBidi" w:cstheme="majorBidi"/>
          <w:color w:val="222222"/>
          <w:sz w:val="24"/>
          <w:szCs w:val="24"/>
          <w:shd w:val="clear" w:color="auto" w:fill="FFFFFF"/>
        </w:rPr>
        <w:t>. John Wiley &amp; Sons.</w:t>
      </w:r>
    </w:p>
    <w:p w14:paraId="3BB4B21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Trippl, M., Grillitsch, M., Isaksen, A., &amp; Sinozic, T. (2015). Perspectives on cluster </w:t>
      </w:r>
      <w:proofErr w:type="gramStart"/>
      <w:r w:rsidRPr="00DD1453">
        <w:rPr>
          <w:rFonts w:asciiTheme="majorBidi" w:hAnsiTheme="majorBidi" w:cstheme="majorBidi"/>
          <w:color w:val="222222"/>
          <w:sz w:val="24"/>
          <w:szCs w:val="24"/>
          <w:shd w:val="clear" w:color="auto" w:fill="FFFFFF"/>
        </w:rPr>
        <w:t>evolution:</w:t>
      </w:r>
      <w:proofErr w:type="gramEnd"/>
      <w:r w:rsidRPr="00DD1453">
        <w:rPr>
          <w:rFonts w:asciiTheme="majorBidi" w:hAnsiTheme="majorBidi" w:cstheme="majorBidi"/>
          <w:color w:val="222222"/>
          <w:sz w:val="24"/>
          <w:szCs w:val="24"/>
          <w:shd w:val="clear" w:color="auto" w:fill="FFFFFF"/>
        </w:rPr>
        <w:t xml:space="preserve"> critical review and future research issues. </w:t>
      </w:r>
      <w:r w:rsidRPr="00DD1453">
        <w:rPr>
          <w:rFonts w:asciiTheme="majorBidi" w:hAnsiTheme="majorBidi" w:cstheme="majorBidi"/>
          <w:i/>
          <w:iCs/>
          <w:color w:val="222222"/>
          <w:sz w:val="24"/>
          <w:szCs w:val="24"/>
          <w:shd w:val="clear" w:color="auto" w:fill="FFFFFF"/>
        </w:rPr>
        <w:t>European planning studies</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23</w:t>
      </w:r>
      <w:r w:rsidRPr="00DD1453">
        <w:rPr>
          <w:rFonts w:asciiTheme="majorBidi" w:hAnsiTheme="majorBidi" w:cstheme="majorBidi"/>
          <w:color w:val="222222"/>
          <w:sz w:val="24"/>
          <w:szCs w:val="24"/>
          <w:shd w:val="clear" w:color="auto" w:fill="FFFFFF"/>
        </w:rPr>
        <w:t>(10), 2028-2044.</w:t>
      </w:r>
    </w:p>
    <w:p w14:paraId="1E21B9FC"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Vu, M. C., &amp; Nguyen, L. A. (2022). Mindful unlearning in unprecedented </w:t>
      </w:r>
      <w:proofErr w:type="gramStart"/>
      <w:r w:rsidRPr="00DD1453">
        <w:rPr>
          <w:rFonts w:asciiTheme="majorBidi" w:hAnsiTheme="majorBidi" w:cstheme="majorBidi"/>
          <w:color w:val="222222"/>
          <w:sz w:val="24"/>
          <w:szCs w:val="24"/>
          <w:shd w:val="clear" w:color="auto" w:fill="FFFFFF"/>
        </w:rPr>
        <w:t>times:</w:t>
      </w:r>
      <w:proofErr w:type="gramEnd"/>
      <w:r w:rsidRPr="00DD1453">
        <w:rPr>
          <w:rFonts w:asciiTheme="majorBidi" w:hAnsiTheme="majorBidi" w:cstheme="majorBidi"/>
          <w:color w:val="222222"/>
          <w:sz w:val="24"/>
          <w:szCs w:val="24"/>
          <w:shd w:val="clear" w:color="auto" w:fill="FFFFFF"/>
        </w:rPr>
        <w:t xml:space="preserve"> Implications for management and organizations. </w:t>
      </w:r>
      <w:r w:rsidRPr="00DD1453">
        <w:rPr>
          <w:rFonts w:asciiTheme="majorBidi" w:hAnsiTheme="majorBidi" w:cstheme="majorBidi"/>
          <w:i/>
          <w:iCs/>
          <w:color w:val="222222"/>
          <w:sz w:val="24"/>
          <w:szCs w:val="24"/>
          <w:shd w:val="clear" w:color="auto" w:fill="FFFFFF"/>
        </w:rPr>
        <w:t>Management Learning</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53</w:t>
      </w:r>
      <w:r w:rsidRPr="00DD1453">
        <w:rPr>
          <w:rFonts w:asciiTheme="majorBidi" w:hAnsiTheme="majorBidi" w:cstheme="majorBidi"/>
          <w:color w:val="222222"/>
          <w:sz w:val="24"/>
          <w:szCs w:val="24"/>
          <w:shd w:val="clear" w:color="auto" w:fill="FFFFFF"/>
        </w:rPr>
        <w:t>(5), 797-817.</w:t>
      </w:r>
    </w:p>
    <w:p w14:paraId="0EE8BBE9"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Vykhrushch, A. V., Humeniuk, V. V., Tarasiuk, Y. M., Khvalyboha, T. I., Fedchyshyn, N. O., Fedoniuk, L. Y., &amp; Rudenko, M. I. (2022). Managerial competence development in the context of philosophy of education. </w:t>
      </w:r>
      <w:r w:rsidRPr="00DD1453">
        <w:rPr>
          <w:rFonts w:asciiTheme="majorBidi" w:hAnsiTheme="majorBidi" w:cstheme="majorBidi"/>
          <w:i/>
          <w:iCs/>
          <w:color w:val="222222"/>
          <w:sz w:val="24"/>
          <w:szCs w:val="24"/>
          <w:shd w:val="clear" w:color="auto" w:fill="FFFFFF"/>
        </w:rPr>
        <w:t>Wiadomości Lekarskie</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5</w:t>
      </w:r>
      <w:r w:rsidRPr="00DD1453">
        <w:rPr>
          <w:rFonts w:asciiTheme="majorBidi" w:hAnsiTheme="majorBidi" w:cstheme="majorBidi"/>
          <w:color w:val="222222"/>
          <w:sz w:val="24"/>
          <w:szCs w:val="24"/>
          <w:shd w:val="clear" w:color="auto" w:fill="FFFFFF"/>
        </w:rPr>
        <w:t>(75), 1376-1383.</w:t>
      </w:r>
    </w:p>
    <w:p w14:paraId="117D9870"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Weiss, J. W. (2021). </w:t>
      </w:r>
      <w:r w:rsidRPr="00DD1453">
        <w:rPr>
          <w:rFonts w:asciiTheme="majorBidi" w:hAnsiTheme="majorBidi" w:cstheme="majorBidi"/>
          <w:i/>
          <w:iCs/>
          <w:color w:val="222222"/>
          <w:sz w:val="24"/>
          <w:szCs w:val="24"/>
          <w:shd w:val="clear" w:color="auto" w:fill="FFFFFF"/>
        </w:rPr>
        <w:t xml:space="preserve">Business </w:t>
      </w:r>
      <w:proofErr w:type="gramStart"/>
      <w:r w:rsidRPr="00DD1453">
        <w:rPr>
          <w:rFonts w:asciiTheme="majorBidi" w:hAnsiTheme="majorBidi" w:cstheme="majorBidi"/>
          <w:i/>
          <w:iCs/>
          <w:color w:val="222222"/>
          <w:sz w:val="24"/>
          <w:szCs w:val="24"/>
          <w:shd w:val="clear" w:color="auto" w:fill="FFFFFF"/>
        </w:rPr>
        <w:t>ethics:</w:t>
      </w:r>
      <w:proofErr w:type="gramEnd"/>
      <w:r w:rsidRPr="00DD1453">
        <w:rPr>
          <w:rFonts w:asciiTheme="majorBidi" w:hAnsiTheme="majorBidi" w:cstheme="majorBidi"/>
          <w:i/>
          <w:iCs/>
          <w:color w:val="222222"/>
          <w:sz w:val="24"/>
          <w:szCs w:val="24"/>
          <w:shd w:val="clear" w:color="auto" w:fill="FFFFFF"/>
        </w:rPr>
        <w:t xml:space="preserve"> A stakeholder and issues management approach</w:t>
      </w:r>
      <w:r w:rsidRPr="00DD1453">
        <w:rPr>
          <w:rFonts w:asciiTheme="majorBidi" w:hAnsiTheme="majorBidi" w:cstheme="majorBidi"/>
          <w:color w:val="222222"/>
          <w:sz w:val="24"/>
          <w:szCs w:val="24"/>
          <w:shd w:val="clear" w:color="auto" w:fill="FFFFFF"/>
        </w:rPr>
        <w:t>. Berrett-Koehler Publishers.</w:t>
      </w:r>
    </w:p>
    <w:p w14:paraId="1A4DBC68"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Willbergh, I. (2015). The problems of ‘competence’and alternatives from the Scandinavian perspective of Bildung. </w:t>
      </w:r>
      <w:r w:rsidRPr="00DD1453">
        <w:rPr>
          <w:rFonts w:asciiTheme="majorBidi" w:hAnsiTheme="majorBidi" w:cstheme="majorBidi"/>
          <w:i/>
          <w:iCs/>
          <w:color w:val="222222"/>
          <w:sz w:val="24"/>
          <w:szCs w:val="24"/>
          <w:shd w:val="clear" w:color="auto" w:fill="FFFFFF"/>
        </w:rPr>
        <w:t>Journal of Curriculum Studies</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47</w:t>
      </w:r>
      <w:r w:rsidRPr="00DD1453">
        <w:rPr>
          <w:rFonts w:asciiTheme="majorBidi" w:hAnsiTheme="majorBidi" w:cstheme="majorBidi"/>
          <w:color w:val="222222"/>
          <w:sz w:val="24"/>
          <w:szCs w:val="24"/>
          <w:shd w:val="clear" w:color="auto" w:fill="FFFFFF"/>
        </w:rPr>
        <w:t>(3), 334-354.</w:t>
      </w:r>
    </w:p>
    <w:p w14:paraId="3341B2B4" w14:textId="77777777" w:rsidR="00953C71" w:rsidRPr="00DD1453" w:rsidRDefault="00953C71" w:rsidP="00953C71">
      <w:pPr>
        <w:spacing w:after="0" w:line="240" w:lineRule="auto"/>
        <w:ind w:left="284" w:hanging="284"/>
        <w:jc w:val="both"/>
        <w:rPr>
          <w:rFonts w:asciiTheme="majorBidi" w:hAnsiTheme="majorBidi" w:cstheme="majorBidi"/>
          <w:color w:val="222222"/>
          <w:sz w:val="24"/>
          <w:szCs w:val="24"/>
          <w:shd w:val="clear" w:color="auto" w:fill="FFFFFF"/>
        </w:rPr>
      </w:pPr>
      <w:r w:rsidRPr="00DD1453">
        <w:rPr>
          <w:rFonts w:asciiTheme="majorBidi" w:hAnsiTheme="majorBidi" w:cstheme="majorBidi"/>
          <w:color w:val="222222"/>
          <w:sz w:val="24"/>
          <w:szCs w:val="24"/>
          <w:shd w:val="clear" w:color="auto" w:fill="FFFFFF"/>
        </w:rPr>
        <w:t xml:space="preserve">Zanzouri, C., &amp; Francois, J. C. (2013). Knowledge management practices within a collaborative R&amp;D </w:t>
      </w:r>
      <w:proofErr w:type="gramStart"/>
      <w:r w:rsidRPr="00DD1453">
        <w:rPr>
          <w:rFonts w:asciiTheme="majorBidi" w:hAnsiTheme="majorBidi" w:cstheme="majorBidi"/>
          <w:color w:val="222222"/>
          <w:sz w:val="24"/>
          <w:szCs w:val="24"/>
          <w:shd w:val="clear" w:color="auto" w:fill="FFFFFF"/>
        </w:rPr>
        <w:t>project:</w:t>
      </w:r>
      <w:proofErr w:type="gramEnd"/>
      <w:r w:rsidRPr="00DD1453">
        <w:rPr>
          <w:rFonts w:asciiTheme="majorBidi" w:hAnsiTheme="majorBidi" w:cstheme="majorBidi"/>
          <w:color w:val="222222"/>
          <w:sz w:val="24"/>
          <w:szCs w:val="24"/>
          <w:shd w:val="clear" w:color="auto" w:fill="FFFFFF"/>
        </w:rPr>
        <w:t xml:space="preserve"> case study of a firm in a cluster of railway industry. </w:t>
      </w:r>
      <w:r w:rsidRPr="00DD1453">
        <w:rPr>
          <w:rFonts w:asciiTheme="majorBidi" w:hAnsiTheme="majorBidi" w:cstheme="majorBidi"/>
          <w:i/>
          <w:iCs/>
          <w:color w:val="222222"/>
          <w:sz w:val="24"/>
          <w:szCs w:val="24"/>
          <w:shd w:val="clear" w:color="auto" w:fill="FFFFFF"/>
        </w:rPr>
        <w:t>Business Process Management Journal</w:t>
      </w:r>
      <w:r w:rsidRPr="00DD1453">
        <w:rPr>
          <w:rFonts w:asciiTheme="majorBidi" w:hAnsiTheme="majorBidi" w:cstheme="majorBidi"/>
          <w:color w:val="222222"/>
          <w:sz w:val="24"/>
          <w:szCs w:val="24"/>
          <w:shd w:val="clear" w:color="auto" w:fill="FFFFFF"/>
        </w:rPr>
        <w:t>, </w:t>
      </w:r>
      <w:r w:rsidRPr="00DD1453">
        <w:rPr>
          <w:rFonts w:asciiTheme="majorBidi" w:hAnsiTheme="majorBidi" w:cstheme="majorBidi"/>
          <w:i/>
          <w:iCs/>
          <w:color w:val="222222"/>
          <w:sz w:val="24"/>
          <w:szCs w:val="24"/>
          <w:shd w:val="clear" w:color="auto" w:fill="FFFFFF"/>
        </w:rPr>
        <w:t>19</w:t>
      </w:r>
      <w:r w:rsidRPr="00DD1453">
        <w:rPr>
          <w:rFonts w:asciiTheme="majorBidi" w:hAnsiTheme="majorBidi" w:cstheme="majorBidi"/>
          <w:color w:val="222222"/>
          <w:sz w:val="24"/>
          <w:szCs w:val="24"/>
          <w:shd w:val="clear" w:color="auto" w:fill="FFFFFF"/>
        </w:rPr>
        <w:t>(5), 819-840.</w:t>
      </w:r>
    </w:p>
    <w:p w14:paraId="7681722C" w14:textId="77777777" w:rsidR="00A7363F" w:rsidRDefault="00A7363F" w:rsidP="00A7363F">
      <w:pPr>
        <w:spacing w:after="120" w:line="360" w:lineRule="auto"/>
        <w:jc w:val="both"/>
        <w:rPr>
          <w:rFonts w:asciiTheme="majorBidi" w:hAnsiTheme="majorBidi" w:cstheme="majorBidi"/>
          <w:sz w:val="24"/>
          <w:szCs w:val="24"/>
        </w:rPr>
      </w:pPr>
    </w:p>
    <w:p w14:paraId="022D589B" w14:textId="77777777" w:rsidR="00A7363F" w:rsidRDefault="00A7363F" w:rsidP="00A7363F">
      <w:pPr>
        <w:spacing w:after="120" w:line="360" w:lineRule="auto"/>
        <w:jc w:val="both"/>
        <w:rPr>
          <w:rFonts w:asciiTheme="majorBidi" w:hAnsiTheme="majorBidi" w:cstheme="majorBidi"/>
          <w:sz w:val="24"/>
          <w:szCs w:val="24"/>
        </w:rPr>
      </w:pPr>
    </w:p>
    <w:p w14:paraId="23A4C572" w14:textId="77777777" w:rsidR="00A7363F" w:rsidRDefault="00A7363F" w:rsidP="00A7363F">
      <w:pPr>
        <w:spacing w:after="120" w:line="360" w:lineRule="auto"/>
        <w:jc w:val="both"/>
        <w:rPr>
          <w:rFonts w:asciiTheme="majorBidi" w:hAnsiTheme="majorBidi" w:cstheme="majorBidi"/>
          <w:sz w:val="24"/>
          <w:szCs w:val="24"/>
        </w:rPr>
      </w:pPr>
    </w:p>
    <w:p w14:paraId="42E0549F" w14:textId="77777777" w:rsidR="007055FF" w:rsidRDefault="007055FF" w:rsidP="007055FF">
      <w:pPr>
        <w:jc w:val="both"/>
        <w:rPr>
          <w:rFonts w:asciiTheme="majorBidi" w:hAnsiTheme="majorBidi" w:cstheme="majorBidi"/>
          <w:sz w:val="24"/>
          <w:szCs w:val="24"/>
        </w:rPr>
      </w:pPr>
    </w:p>
    <w:p w14:paraId="330BCC7C" w14:textId="77777777" w:rsidR="007055FF" w:rsidRDefault="007055FF" w:rsidP="007055FF">
      <w:pPr>
        <w:jc w:val="both"/>
        <w:rPr>
          <w:rFonts w:asciiTheme="majorBidi" w:hAnsiTheme="majorBidi" w:cstheme="majorBidi"/>
          <w:sz w:val="24"/>
          <w:szCs w:val="24"/>
        </w:rPr>
      </w:pPr>
    </w:p>
    <w:p w14:paraId="1AC4DB0F" w14:textId="77777777" w:rsidR="007055FF" w:rsidRPr="007055FF" w:rsidRDefault="007055FF" w:rsidP="007055FF">
      <w:pPr>
        <w:jc w:val="both"/>
        <w:rPr>
          <w:rFonts w:asciiTheme="majorBidi" w:hAnsiTheme="majorBidi" w:cstheme="majorBidi"/>
          <w:sz w:val="24"/>
          <w:szCs w:val="24"/>
        </w:rPr>
      </w:pPr>
    </w:p>
    <w:sectPr w:rsidR="007055FF" w:rsidRPr="007055F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844EE" w14:textId="77777777" w:rsidR="006B76FD" w:rsidRDefault="006B76FD" w:rsidP="008514A8">
      <w:pPr>
        <w:spacing w:after="0" w:line="240" w:lineRule="auto"/>
      </w:pPr>
      <w:r>
        <w:separator/>
      </w:r>
    </w:p>
  </w:endnote>
  <w:endnote w:type="continuationSeparator" w:id="0">
    <w:p w14:paraId="7986CB7E" w14:textId="77777777" w:rsidR="006B76FD" w:rsidRDefault="006B76FD" w:rsidP="0085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989872"/>
      <w:docPartObj>
        <w:docPartGallery w:val="Page Numbers (Bottom of Page)"/>
        <w:docPartUnique/>
      </w:docPartObj>
    </w:sdtPr>
    <w:sdtEndPr>
      <w:rPr>
        <w:rFonts w:asciiTheme="majorBidi" w:hAnsiTheme="majorBidi" w:cstheme="majorBidi"/>
        <w:sz w:val="24"/>
        <w:szCs w:val="24"/>
      </w:rPr>
    </w:sdtEndPr>
    <w:sdtContent>
      <w:p w14:paraId="6BF55FE9" w14:textId="52D85D26" w:rsidR="008514A8" w:rsidRPr="008514A8" w:rsidRDefault="008514A8" w:rsidP="008514A8">
        <w:pPr>
          <w:pStyle w:val="Pieddepage"/>
          <w:jc w:val="right"/>
          <w:rPr>
            <w:rFonts w:asciiTheme="majorBidi" w:hAnsiTheme="majorBidi" w:cstheme="majorBidi"/>
            <w:sz w:val="24"/>
            <w:szCs w:val="24"/>
          </w:rPr>
        </w:pPr>
        <w:r w:rsidRPr="008514A8">
          <w:rPr>
            <w:rFonts w:asciiTheme="majorBidi" w:hAnsiTheme="majorBidi" w:cstheme="majorBidi"/>
            <w:sz w:val="24"/>
            <w:szCs w:val="24"/>
          </w:rPr>
          <w:fldChar w:fldCharType="begin"/>
        </w:r>
        <w:r w:rsidRPr="008514A8">
          <w:rPr>
            <w:rFonts w:asciiTheme="majorBidi" w:hAnsiTheme="majorBidi" w:cstheme="majorBidi"/>
            <w:sz w:val="24"/>
            <w:szCs w:val="24"/>
          </w:rPr>
          <w:instrText>PAGE   \* MERGEFORMAT</w:instrText>
        </w:r>
        <w:r w:rsidRPr="008514A8">
          <w:rPr>
            <w:rFonts w:asciiTheme="majorBidi" w:hAnsiTheme="majorBidi" w:cstheme="majorBidi"/>
            <w:sz w:val="24"/>
            <w:szCs w:val="24"/>
          </w:rPr>
          <w:fldChar w:fldCharType="separate"/>
        </w:r>
        <w:r w:rsidR="00CC6610">
          <w:rPr>
            <w:rFonts w:asciiTheme="majorBidi" w:hAnsiTheme="majorBidi" w:cstheme="majorBidi"/>
            <w:noProof/>
            <w:sz w:val="24"/>
            <w:szCs w:val="24"/>
          </w:rPr>
          <w:t>20</w:t>
        </w:r>
        <w:r w:rsidRPr="008514A8">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B46BD" w14:textId="77777777" w:rsidR="006B76FD" w:rsidRDefault="006B76FD" w:rsidP="008514A8">
      <w:pPr>
        <w:spacing w:after="0" w:line="240" w:lineRule="auto"/>
      </w:pPr>
      <w:r>
        <w:separator/>
      </w:r>
    </w:p>
  </w:footnote>
  <w:footnote w:type="continuationSeparator" w:id="0">
    <w:p w14:paraId="78F76C5E" w14:textId="77777777" w:rsidR="006B76FD" w:rsidRDefault="006B76FD" w:rsidP="00851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32FAF"/>
    <w:multiLevelType w:val="multilevel"/>
    <w:tmpl w:val="257EDA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76106E6"/>
    <w:multiLevelType w:val="hybridMultilevel"/>
    <w:tmpl w:val="C2CCB44C"/>
    <w:lvl w:ilvl="0" w:tplc="B56C64E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0A5EFB"/>
    <w:multiLevelType w:val="hybridMultilevel"/>
    <w:tmpl w:val="469062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A46"/>
    <w:rsid w:val="0002072D"/>
    <w:rsid w:val="000F4146"/>
    <w:rsid w:val="00143AF3"/>
    <w:rsid w:val="00150633"/>
    <w:rsid w:val="00176683"/>
    <w:rsid w:val="001E11A1"/>
    <w:rsid w:val="00260A46"/>
    <w:rsid w:val="0027035E"/>
    <w:rsid w:val="002D00BC"/>
    <w:rsid w:val="0032584B"/>
    <w:rsid w:val="00357838"/>
    <w:rsid w:val="00412FDA"/>
    <w:rsid w:val="00444098"/>
    <w:rsid w:val="004943EC"/>
    <w:rsid w:val="00503C6A"/>
    <w:rsid w:val="00512B58"/>
    <w:rsid w:val="005900E3"/>
    <w:rsid w:val="00645B36"/>
    <w:rsid w:val="006B76FD"/>
    <w:rsid w:val="007055FF"/>
    <w:rsid w:val="008514A8"/>
    <w:rsid w:val="008547F6"/>
    <w:rsid w:val="008E05F5"/>
    <w:rsid w:val="009436DD"/>
    <w:rsid w:val="00953C71"/>
    <w:rsid w:val="009A79AA"/>
    <w:rsid w:val="00A7363F"/>
    <w:rsid w:val="00BA2857"/>
    <w:rsid w:val="00BC4E91"/>
    <w:rsid w:val="00BF3301"/>
    <w:rsid w:val="00C6330A"/>
    <w:rsid w:val="00C63422"/>
    <w:rsid w:val="00CA65D6"/>
    <w:rsid w:val="00CC6610"/>
    <w:rsid w:val="00DB6497"/>
    <w:rsid w:val="00DD1453"/>
    <w:rsid w:val="00DE3771"/>
    <w:rsid w:val="00DF386A"/>
    <w:rsid w:val="00E46BA9"/>
    <w:rsid w:val="00E5080B"/>
    <w:rsid w:val="00F174F9"/>
    <w:rsid w:val="00F6004F"/>
    <w:rsid w:val="00F62EEF"/>
    <w:rsid w:val="00F6501F"/>
    <w:rsid w:val="00F7370E"/>
    <w:rsid w:val="00F747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0116"/>
  <w15:chartTrackingRefBased/>
  <w15:docId w15:val="{44CD867D-3674-42AB-8E90-822AC484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453"/>
  </w:style>
  <w:style w:type="paragraph" w:styleId="Titre1">
    <w:name w:val="heading 1"/>
    <w:basedOn w:val="Normal"/>
    <w:next w:val="Normal"/>
    <w:link w:val="Titre1Car"/>
    <w:uiPriority w:val="9"/>
    <w:qFormat/>
    <w:rsid w:val="00260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60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60A4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60A4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60A4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60A4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60A4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60A4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60A4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0A4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60A4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60A4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60A4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60A4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60A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60A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60A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60A46"/>
    <w:rPr>
      <w:rFonts w:eastAsiaTheme="majorEastAsia" w:cstheme="majorBidi"/>
      <w:color w:val="272727" w:themeColor="text1" w:themeTint="D8"/>
    </w:rPr>
  </w:style>
  <w:style w:type="paragraph" w:styleId="Titre">
    <w:name w:val="Title"/>
    <w:basedOn w:val="Normal"/>
    <w:next w:val="Normal"/>
    <w:link w:val="TitreCar"/>
    <w:uiPriority w:val="10"/>
    <w:qFormat/>
    <w:rsid w:val="00260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0A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60A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60A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60A46"/>
    <w:pPr>
      <w:spacing w:before="160"/>
      <w:jc w:val="center"/>
    </w:pPr>
    <w:rPr>
      <w:i/>
      <w:iCs/>
      <w:color w:val="404040" w:themeColor="text1" w:themeTint="BF"/>
    </w:rPr>
  </w:style>
  <w:style w:type="character" w:customStyle="1" w:styleId="CitationCar">
    <w:name w:val="Citation Car"/>
    <w:basedOn w:val="Policepardfaut"/>
    <w:link w:val="Citation"/>
    <w:uiPriority w:val="29"/>
    <w:rsid w:val="00260A46"/>
    <w:rPr>
      <w:i/>
      <w:iCs/>
      <w:color w:val="404040" w:themeColor="text1" w:themeTint="BF"/>
    </w:rPr>
  </w:style>
  <w:style w:type="paragraph" w:styleId="Paragraphedeliste">
    <w:name w:val="List Paragraph"/>
    <w:basedOn w:val="Normal"/>
    <w:uiPriority w:val="34"/>
    <w:qFormat/>
    <w:rsid w:val="00260A46"/>
    <w:pPr>
      <w:ind w:left="720"/>
      <w:contextualSpacing/>
    </w:pPr>
  </w:style>
  <w:style w:type="character" w:styleId="Emphaseintense">
    <w:name w:val="Intense Emphasis"/>
    <w:basedOn w:val="Policepardfaut"/>
    <w:uiPriority w:val="21"/>
    <w:qFormat/>
    <w:rsid w:val="00260A46"/>
    <w:rPr>
      <w:i/>
      <w:iCs/>
      <w:color w:val="2F5496" w:themeColor="accent1" w:themeShade="BF"/>
    </w:rPr>
  </w:style>
  <w:style w:type="paragraph" w:styleId="Citationintense">
    <w:name w:val="Intense Quote"/>
    <w:basedOn w:val="Normal"/>
    <w:next w:val="Normal"/>
    <w:link w:val="CitationintenseCar"/>
    <w:uiPriority w:val="30"/>
    <w:qFormat/>
    <w:rsid w:val="00260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60A46"/>
    <w:rPr>
      <w:i/>
      <w:iCs/>
      <w:color w:val="2F5496" w:themeColor="accent1" w:themeShade="BF"/>
    </w:rPr>
  </w:style>
  <w:style w:type="character" w:styleId="Rfrenceintense">
    <w:name w:val="Intense Reference"/>
    <w:basedOn w:val="Policepardfaut"/>
    <w:uiPriority w:val="32"/>
    <w:qFormat/>
    <w:rsid w:val="00260A46"/>
    <w:rPr>
      <w:b/>
      <w:bCs/>
      <w:smallCaps/>
      <w:color w:val="2F5496" w:themeColor="accent1" w:themeShade="BF"/>
      <w:spacing w:val="5"/>
    </w:rPr>
  </w:style>
  <w:style w:type="paragraph" w:styleId="En-tte">
    <w:name w:val="header"/>
    <w:basedOn w:val="Normal"/>
    <w:link w:val="En-tteCar"/>
    <w:uiPriority w:val="99"/>
    <w:unhideWhenUsed/>
    <w:rsid w:val="008514A8"/>
    <w:pPr>
      <w:tabs>
        <w:tab w:val="center" w:pos="4536"/>
        <w:tab w:val="right" w:pos="9072"/>
      </w:tabs>
      <w:spacing w:after="0" w:line="240" w:lineRule="auto"/>
    </w:pPr>
  </w:style>
  <w:style w:type="character" w:customStyle="1" w:styleId="En-tteCar">
    <w:name w:val="En-tête Car"/>
    <w:basedOn w:val="Policepardfaut"/>
    <w:link w:val="En-tte"/>
    <w:uiPriority w:val="99"/>
    <w:rsid w:val="008514A8"/>
  </w:style>
  <w:style w:type="paragraph" w:styleId="Pieddepage">
    <w:name w:val="footer"/>
    <w:basedOn w:val="Normal"/>
    <w:link w:val="PieddepageCar"/>
    <w:uiPriority w:val="99"/>
    <w:unhideWhenUsed/>
    <w:rsid w:val="008514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14A8"/>
  </w:style>
  <w:style w:type="character" w:styleId="Accentuation">
    <w:name w:val="Emphasis"/>
    <w:basedOn w:val="Policepardfaut"/>
    <w:uiPriority w:val="20"/>
    <w:qFormat/>
    <w:rsid w:val="00E508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840536">
      <w:bodyDiv w:val="1"/>
      <w:marLeft w:val="0"/>
      <w:marRight w:val="0"/>
      <w:marTop w:val="0"/>
      <w:marBottom w:val="0"/>
      <w:divBdr>
        <w:top w:val="none" w:sz="0" w:space="0" w:color="auto"/>
        <w:left w:val="none" w:sz="0" w:space="0" w:color="auto"/>
        <w:bottom w:val="none" w:sz="0" w:space="0" w:color="auto"/>
        <w:right w:val="none" w:sz="0" w:space="0" w:color="auto"/>
      </w:divBdr>
    </w:div>
    <w:div w:id="59009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11063</Words>
  <Characters>60847</Characters>
  <Application>Microsoft Office Word</Application>
  <DocSecurity>0</DocSecurity>
  <Lines>507</Lines>
  <Paragraphs>143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kchaou rihab</cp:lastModifiedBy>
  <cp:revision>5</cp:revision>
  <dcterms:created xsi:type="dcterms:W3CDTF">2025-03-08T08:21:00Z</dcterms:created>
  <dcterms:modified xsi:type="dcterms:W3CDTF">2025-09-11T11:57:00Z</dcterms:modified>
</cp:coreProperties>
</file>